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D8C07" w14:textId="77777777" w:rsidR="00821983" w:rsidRDefault="00821983" w:rsidP="00217B13">
      <w:bookmarkStart w:id="0" w:name="_GoBack"/>
      <w:bookmarkEnd w:id="0"/>
    </w:p>
    <w:p w14:paraId="46E1A7B5" w14:textId="77777777" w:rsidR="00BF3F81" w:rsidRDefault="00BF3F81" w:rsidP="00AA775E">
      <w:pPr>
        <w:autoSpaceDE w:val="0"/>
        <w:adjustRightInd w:val="0"/>
        <w:spacing w:line="240" w:lineRule="auto"/>
        <w:textAlignment w:val="auto"/>
      </w:pPr>
    </w:p>
    <w:p w14:paraId="59EBA950" w14:textId="46595601" w:rsidR="00D26654" w:rsidRPr="00577EF7" w:rsidRDefault="00D26654" w:rsidP="00681156">
      <w:pPr>
        <w:autoSpaceDE w:val="0"/>
        <w:adjustRightInd w:val="0"/>
        <w:textAlignment w:val="auto"/>
        <w:rPr>
          <w:rFonts w:cs="Verdana"/>
          <w:color w:val="auto"/>
        </w:rPr>
      </w:pPr>
      <w:bookmarkStart w:id="1" w:name="_Hlk121138291"/>
      <w:r w:rsidRPr="00577EF7">
        <w:rPr>
          <w:rFonts w:cs="Verdana"/>
          <w:color w:val="auto"/>
        </w:rPr>
        <w:t>De tekorten op de huidige woningmarkt zijn en blijven vooralsnog groot. Het vergroten van het woningaanbod, met name in de sociale huursector is essentieel.</w:t>
      </w:r>
      <w:r w:rsidR="007B5D99">
        <w:rPr>
          <w:rFonts w:cs="Verdana"/>
          <w:color w:val="auto"/>
        </w:rPr>
        <w:t xml:space="preserve"> Mede vanwege de huidige wachtlijsten, </w:t>
      </w:r>
      <w:r w:rsidR="00D14A24">
        <w:rPr>
          <w:rFonts w:cs="Verdana"/>
          <w:color w:val="auto"/>
        </w:rPr>
        <w:t xml:space="preserve">die </w:t>
      </w:r>
      <w:r w:rsidR="007B5D99">
        <w:rPr>
          <w:rFonts w:cs="Verdana"/>
          <w:color w:val="auto"/>
        </w:rPr>
        <w:t>oplopen door het hoge aantal te vestigen statushouders en Oekraïense ontheemden. H</w:t>
      </w:r>
      <w:r w:rsidR="007B5D99" w:rsidRPr="00577EF7">
        <w:rPr>
          <w:rFonts w:cs="Verdana"/>
          <w:color w:val="auto"/>
        </w:rPr>
        <w:t xml:space="preserve">et </w:t>
      </w:r>
      <w:r w:rsidR="007B5D99">
        <w:rPr>
          <w:rFonts w:cs="Verdana"/>
          <w:color w:val="auto"/>
        </w:rPr>
        <w:t xml:space="preserve">is dan ook </w:t>
      </w:r>
      <w:r w:rsidR="007B5D99" w:rsidRPr="00577EF7">
        <w:rPr>
          <w:rFonts w:cs="Verdana"/>
          <w:color w:val="auto"/>
        </w:rPr>
        <w:t xml:space="preserve">noodzakelijk </w:t>
      </w:r>
      <w:r w:rsidR="007B5D99">
        <w:rPr>
          <w:rFonts w:cs="Verdana"/>
          <w:color w:val="auto"/>
        </w:rPr>
        <w:t xml:space="preserve">om </w:t>
      </w:r>
      <w:r w:rsidR="007B5D99" w:rsidRPr="00577EF7">
        <w:rPr>
          <w:rFonts w:cs="Verdana"/>
          <w:color w:val="auto"/>
        </w:rPr>
        <w:t>op de kortst mogelijke termijn extra woningen te realiseren.</w:t>
      </w:r>
      <w:r w:rsidR="007B5D99">
        <w:rPr>
          <w:rFonts w:cs="Verdana"/>
          <w:color w:val="auto"/>
        </w:rPr>
        <w:t xml:space="preserve"> </w:t>
      </w:r>
      <w:r w:rsidRPr="00577EF7">
        <w:rPr>
          <w:rFonts w:cs="Verdana"/>
          <w:color w:val="auto"/>
        </w:rPr>
        <w:t xml:space="preserve">De snelste wijze </w:t>
      </w:r>
      <w:r w:rsidR="00F80015" w:rsidRPr="00577EF7">
        <w:rPr>
          <w:rFonts w:cs="Verdana"/>
          <w:color w:val="auto"/>
        </w:rPr>
        <w:t xml:space="preserve">waarop dat kan </w:t>
      </w:r>
      <w:r w:rsidRPr="00577EF7">
        <w:rPr>
          <w:rFonts w:cs="Verdana"/>
          <w:color w:val="auto"/>
        </w:rPr>
        <w:t xml:space="preserve">is door flexwoningen te bouwen en te plaatsen. </w:t>
      </w:r>
    </w:p>
    <w:p w14:paraId="40CB44BE" w14:textId="3FC00DB9" w:rsidR="00046679" w:rsidRDefault="00D26654" w:rsidP="00577EF7">
      <w:pPr>
        <w:autoSpaceDE w:val="0"/>
        <w:adjustRightInd w:val="0"/>
        <w:textAlignment w:val="auto"/>
        <w:rPr>
          <w:rFonts w:cs="Verdana"/>
          <w:color w:val="auto"/>
        </w:rPr>
      </w:pPr>
      <w:r w:rsidRPr="00577EF7">
        <w:rPr>
          <w:rFonts w:cs="Verdana"/>
          <w:color w:val="auto"/>
        </w:rPr>
        <w:t xml:space="preserve">Maar het realiseren van locaties is lastig. </w:t>
      </w:r>
      <w:r w:rsidR="0072014E">
        <w:rPr>
          <w:rFonts w:cs="Verdana"/>
          <w:color w:val="auto"/>
        </w:rPr>
        <w:t xml:space="preserve">Gemeenten en </w:t>
      </w:r>
      <w:r w:rsidR="001135E7">
        <w:rPr>
          <w:rFonts w:cs="Verdana"/>
          <w:color w:val="auto"/>
        </w:rPr>
        <w:t xml:space="preserve">investeerders (veelal </w:t>
      </w:r>
      <w:r w:rsidR="0072014E">
        <w:rPr>
          <w:rFonts w:cs="Verdana"/>
          <w:color w:val="auto"/>
        </w:rPr>
        <w:t>corporaties</w:t>
      </w:r>
      <w:r w:rsidR="001135E7">
        <w:rPr>
          <w:rFonts w:cs="Verdana"/>
          <w:color w:val="auto"/>
        </w:rPr>
        <w:t>)</w:t>
      </w:r>
      <w:r w:rsidR="0072014E" w:rsidRPr="00577EF7">
        <w:rPr>
          <w:rFonts w:cs="Verdana"/>
          <w:color w:val="auto"/>
        </w:rPr>
        <w:t xml:space="preserve"> </w:t>
      </w:r>
      <w:r w:rsidR="004076B1" w:rsidRPr="00577EF7">
        <w:rPr>
          <w:rFonts w:cs="Verdana"/>
          <w:color w:val="auto"/>
        </w:rPr>
        <w:t xml:space="preserve">lopen financiële risico’s </w:t>
      </w:r>
      <w:r w:rsidR="00912E38">
        <w:rPr>
          <w:rFonts w:cs="Verdana"/>
          <w:color w:val="auto"/>
        </w:rPr>
        <w:t>b</w:t>
      </w:r>
      <w:r w:rsidR="00F80015" w:rsidRPr="00577EF7">
        <w:rPr>
          <w:rFonts w:cs="Verdana"/>
          <w:color w:val="auto"/>
        </w:rPr>
        <w:t xml:space="preserve">ij tijdelijke woningbouw door </w:t>
      </w:r>
      <w:r w:rsidR="004076B1">
        <w:rPr>
          <w:rFonts w:cs="Verdana"/>
          <w:color w:val="auto"/>
        </w:rPr>
        <w:t xml:space="preserve">middel van </w:t>
      </w:r>
      <w:r w:rsidR="00F80015" w:rsidRPr="00577EF7">
        <w:rPr>
          <w:rFonts w:cs="Verdana"/>
          <w:color w:val="auto"/>
        </w:rPr>
        <w:t xml:space="preserve">de inzet van flexwoningen op tijdelijke locaties. </w:t>
      </w:r>
      <w:r w:rsidR="003B6775">
        <w:rPr>
          <w:rFonts w:cs="Verdana"/>
          <w:color w:val="auto"/>
        </w:rPr>
        <w:t xml:space="preserve">Dat is anders dan bij reguliere woningbouw. </w:t>
      </w:r>
      <w:r w:rsidR="009723E8">
        <w:t xml:space="preserve">Bij tijdelijke huisvesting is een eerste exploitatielocatie vaak enkel voor de eerste 10 of 15 jaar beschikbaar. Als er geen zekerheid is over een vervolglocatie, kan niet worden gerekend op een voldoende exploitatietijd om de initiële investeringen terug te verdienen. Dan worden de woningen te snel afgeschreven waardoor de projecten veelal een onrendabel vooruitzicht hebben, en wordt de investeringsbeslissing vaak niet genomen. </w:t>
      </w:r>
      <w:r w:rsidR="00577EF7" w:rsidRPr="00577EF7">
        <w:rPr>
          <w:rFonts w:cs="Verdana"/>
          <w:color w:val="auto"/>
        </w:rPr>
        <w:t xml:space="preserve">Een financiële herplaatsingsgarantie </w:t>
      </w:r>
      <w:r w:rsidR="004076B1">
        <w:rPr>
          <w:rFonts w:cs="Verdana"/>
          <w:color w:val="auto"/>
        </w:rPr>
        <w:t xml:space="preserve">– zekerheid op een volgende locatie met eventuele financiële compensatie </w:t>
      </w:r>
      <w:r w:rsidR="009723E8">
        <w:rPr>
          <w:rFonts w:cs="Verdana"/>
          <w:color w:val="auto"/>
        </w:rPr>
        <w:t>–</w:t>
      </w:r>
      <w:r w:rsidR="004076B1">
        <w:rPr>
          <w:rFonts w:cs="Verdana"/>
          <w:color w:val="auto"/>
        </w:rPr>
        <w:t xml:space="preserve"> </w:t>
      </w:r>
      <w:r w:rsidR="009723E8">
        <w:rPr>
          <w:rFonts w:cs="Verdana"/>
          <w:color w:val="auto"/>
        </w:rPr>
        <w:t>kan de benodigde zekerheid bieden</w:t>
      </w:r>
      <w:r w:rsidR="00577EF7" w:rsidRPr="00577EF7">
        <w:rPr>
          <w:rFonts w:cs="Verdana"/>
          <w:color w:val="auto"/>
        </w:rPr>
        <w:t>.</w:t>
      </w:r>
      <w:r w:rsidR="00577EF7">
        <w:rPr>
          <w:rFonts w:cs="Verdana"/>
          <w:color w:val="auto"/>
        </w:rPr>
        <w:t xml:space="preserve"> </w:t>
      </w:r>
      <w:r w:rsidR="00AA775E">
        <w:rPr>
          <w:rFonts w:cs="Verdana"/>
          <w:color w:val="auto"/>
        </w:rPr>
        <w:t>Afgelopen maanden zijn de contouren van de garantie in overleg met de VNG</w:t>
      </w:r>
      <w:r w:rsidR="00577EF7">
        <w:rPr>
          <w:rFonts w:cs="Verdana"/>
          <w:color w:val="auto"/>
        </w:rPr>
        <w:t>,</w:t>
      </w:r>
      <w:r w:rsidR="00AA775E">
        <w:rPr>
          <w:rFonts w:cs="Verdana"/>
          <w:color w:val="auto"/>
        </w:rPr>
        <w:t xml:space="preserve"> Aedes </w:t>
      </w:r>
      <w:r w:rsidR="00577EF7">
        <w:rPr>
          <w:rFonts w:cs="Verdana"/>
          <w:color w:val="auto"/>
        </w:rPr>
        <w:t xml:space="preserve">en de taskforce versnelling tijdelijke huisvesting </w:t>
      </w:r>
      <w:r w:rsidR="00AA775E">
        <w:rPr>
          <w:rFonts w:cs="Verdana"/>
          <w:color w:val="auto"/>
        </w:rPr>
        <w:t xml:space="preserve">opgesteld. Met deze brief informeer ik u over de contouren. Conform de begrotingsvoorschriften is de garantie getoetst aan het toetsingskader risicoregelingen. De </w:t>
      </w:r>
      <w:r w:rsidR="00BF3F81">
        <w:rPr>
          <w:rFonts w:cs="Verdana"/>
          <w:color w:val="auto"/>
        </w:rPr>
        <w:t xml:space="preserve">contouren van de financiële herplaatsingsgarantie en de </w:t>
      </w:r>
      <w:r w:rsidR="00AA775E">
        <w:rPr>
          <w:rFonts w:cs="Verdana"/>
          <w:color w:val="auto"/>
        </w:rPr>
        <w:t xml:space="preserve">bevindingen </w:t>
      </w:r>
      <w:r w:rsidR="00BF3F81">
        <w:rPr>
          <w:rFonts w:cs="Verdana"/>
          <w:color w:val="auto"/>
        </w:rPr>
        <w:t xml:space="preserve">vanuit het toetsingskader </w:t>
      </w:r>
      <w:r w:rsidR="00AA775E">
        <w:rPr>
          <w:rFonts w:cs="Verdana"/>
          <w:color w:val="auto"/>
        </w:rPr>
        <w:t xml:space="preserve">zijn bijgevoegd bij deze brief. </w:t>
      </w:r>
      <w:r w:rsidR="00285905">
        <w:rPr>
          <w:rFonts w:cs="Verdana"/>
          <w:color w:val="auto"/>
        </w:rPr>
        <w:t xml:space="preserve">Hiermee </w:t>
      </w:r>
      <w:r w:rsidR="00285905">
        <w:t>wordt tevens invulling gegeven aan de motie van het lid Van der Plas</w:t>
      </w:r>
      <w:r w:rsidR="007B5D99">
        <w:t>.</w:t>
      </w:r>
      <w:r w:rsidR="007B5D99">
        <w:rPr>
          <w:rStyle w:val="Voetnootmarkering"/>
        </w:rPr>
        <w:footnoteReference w:id="1"/>
      </w:r>
    </w:p>
    <w:p w14:paraId="51190F54" w14:textId="77777777" w:rsidR="00BF3F81" w:rsidRDefault="00BF3F81" w:rsidP="00681156">
      <w:pPr>
        <w:autoSpaceDE w:val="0"/>
        <w:adjustRightInd w:val="0"/>
        <w:textAlignment w:val="auto"/>
        <w:rPr>
          <w:rFonts w:cs="Verdana"/>
          <w:color w:val="auto"/>
        </w:rPr>
      </w:pPr>
    </w:p>
    <w:p w14:paraId="496DEF58" w14:textId="77777777" w:rsidR="00821983" w:rsidRPr="00B71909" w:rsidRDefault="004D48B2" w:rsidP="00681156">
      <w:pPr>
        <w:rPr>
          <w:b/>
          <w:bCs/>
          <w:color w:val="auto"/>
        </w:rPr>
      </w:pPr>
      <w:r>
        <w:rPr>
          <w:b/>
          <w:bCs/>
        </w:rPr>
        <w:t>Financiële h</w:t>
      </w:r>
      <w:r w:rsidR="00821983" w:rsidRPr="00B71909">
        <w:rPr>
          <w:b/>
          <w:bCs/>
        </w:rPr>
        <w:t>erplaatsingsgarantie</w:t>
      </w:r>
    </w:p>
    <w:p w14:paraId="1983D70A" w14:textId="06AB54EF" w:rsidR="009723E8" w:rsidRDefault="009723E8" w:rsidP="009723E8">
      <w:pPr>
        <w:autoSpaceDE w:val="0"/>
        <w:adjustRightInd w:val="0"/>
        <w:textAlignment w:val="auto"/>
      </w:pPr>
      <w:r>
        <w:rPr>
          <w:rFonts w:cs="Verdana"/>
          <w:color w:val="auto"/>
        </w:rPr>
        <w:t xml:space="preserve">Voor gemeenten en investeerders is het van belang nu al zoveel mogelijk duidelijkheid te krijgen over de herplaatsingsgarantie. Met de contouren </w:t>
      </w:r>
      <w:r>
        <w:t>staat vast waar de investeerders bij de uiteindelijke herplaatsingsgarantie op kunnen rekenen. Zo kunnen zij en gemeenten de contouren nu al gebruiken om het plannen op te ijken</w:t>
      </w:r>
      <w:r w:rsidRPr="00A63FA4">
        <w:t xml:space="preserve"> </w:t>
      </w:r>
      <w:r>
        <w:t xml:space="preserve">en om afspraken te maken in de woondeals. Dat is essentieel, </w:t>
      </w:r>
      <w:r>
        <w:lastRenderedPageBreak/>
        <w:t>omdat individuele projecten nu wachten op helderheid over de herplaatsingsgarantie. Daarnaast is de duidelijkheid een belangrijke voorwaarde voor potentiële afnemers van de RVB-bouwopdracht van flexwoningen en voor het inkooptraject van flexwoningen die Aedes voorbereidt.</w:t>
      </w:r>
    </w:p>
    <w:p w14:paraId="71DD6CD4" w14:textId="77777777" w:rsidR="000F74F8" w:rsidRDefault="000F74F8" w:rsidP="00681156"/>
    <w:p w14:paraId="56A4E4D2" w14:textId="7108EF4C" w:rsidR="00821983" w:rsidRDefault="00821983" w:rsidP="00681156">
      <w:r>
        <w:t xml:space="preserve">Kern van de garantie is dat de kans op herplaatsing maximaal vergroot wordt door een </w:t>
      </w:r>
      <w:r w:rsidR="007B5D99">
        <w:t xml:space="preserve">zogenoemde </w:t>
      </w:r>
      <w:r w:rsidR="000E0280">
        <w:t>gezamenlijke herplaatsingsladder</w:t>
      </w:r>
      <w:r w:rsidR="006D336C">
        <w:t xml:space="preserve">, </w:t>
      </w:r>
      <w:r>
        <w:t>kwaliteitseisen aan de woningen</w:t>
      </w:r>
      <w:r w:rsidR="004026EA">
        <w:t>,</w:t>
      </w:r>
      <w:r w:rsidR="006D336C">
        <w:t xml:space="preserve"> de inzet van een marktmeester</w:t>
      </w:r>
      <w:r w:rsidR="004026EA">
        <w:t xml:space="preserve"> en het </w:t>
      </w:r>
      <w:r w:rsidR="004026EA" w:rsidRPr="00F573B0">
        <w:t xml:space="preserve">opdragen </w:t>
      </w:r>
      <w:r w:rsidR="004026EA">
        <w:t xml:space="preserve">van de taak </w:t>
      </w:r>
      <w:r w:rsidR="004026EA" w:rsidRPr="00F573B0">
        <w:t>om flexwoningen met een bepaalde minimale exploitatieduur in stand te houden</w:t>
      </w:r>
      <w:r>
        <w:t>.</w:t>
      </w:r>
      <w:r w:rsidR="006D336C">
        <w:t xml:space="preserve"> </w:t>
      </w:r>
      <w:r w:rsidR="007B5D99">
        <w:t xml:space="preserve">De gezamenlijke herplaatsingsladder </w:t>
      </w:r>
      <w:r w:rsidR="00AD7222">
        <w:t xml:space="preserve">houdt in dat </w:t>
      </w:r>
      <w:r w:rsidR="000F74F8">
        <w:t>partijen</w:t>
      </w:r>
      <w:r>
        <w:t xml:space="preserve"> lokaal, regionaal, provinciaal en landelijk gezamenlijk </w:t>
      </w:r>
      <w:r w:rsidR="000F74F8">
        <w:t xml:space="preserve">ervoor </w:t>
      </w:r>
      <w:r>
        <w:t xml:space="preserve">zorgen dat er voldoende locaties zijn voor herplaatsing en afspreken dat een herplaatsbare flexwoning voor een </w:t>
      </w:r>
      <w:r w:rsidR="00A13131">
        <w:t xml:space="preserve">nieuw te bouwen </w:t>
      </w:r>
      <w:r>
        <w:t>flexwoning gaat</w:t>
      </w:r>
      <w:r w:rsidR="00AD7222">
        <w:t xml:space="preserve">. Dat laatste wordt mogelijk door hoge kwaliteitseisen te stellen aan flexwoningen. </w:t>
      </w:r>
      <w:r>
        <w:t>In de regionale woondeals wordt opgenomen hoeveel flexwoningen men regionaal gezamenlijk gaat realiseren en ook hoe men voor opvolglocaties zorgt</w:t>
      </w:r>
      <w:r w:rsidR="00B9740B">
        <w:t xml:space="preserve">. </w:t>
      </w:r>
      <w:r w:rsidR="00AD7222">
        <w:t xml:space="preserve">Daarnaast ben ik voornemens om in het Wetsvoorstel regie op de volkshuisvesting op te nemen dat gemeenten vervolglocaties in hun lokale woonplannen moeten opnemen. Mocht het lokaal, regionaal of provinciaal niet gelukt zijn om een nieuw locatie te vinden dan kan de </w:t>
      </w:r>
      <w:r w:rsidR="00B9740B">
        <w:t>marktmeester</w:t>
      </w:r>
      <w:r w:rsidR="00AD7222">
        <w:t xml:space="preserve"> worden ingezet</w:t>
      </w:r>
      <w:r>
        <w:t xml:space="preserve">. </w:t>
      </w:r>
      <w:r w:rsidR="00AD7222">
        <w:t xml:space="preserve">De marktmeester zal zich richten op het regionaal en landelijk in beeld krijgen van vervolglocaties voor flexwoningen en helpt partijen om een herplaatsingslocatie te vinden. </w:t>
      </w:r>
      <w:r w:rsidR="006D336C">
        <w:t xml:space="preserve">De garantie draagt </w:t>
      </w:r>
      <w:r w:rsidR="000F74F8">
        <w:t xml:space="preserve">overigens </w:t>
      </w:r>
      <w:r w:rsidR="006D336C">
        <w:t xml:space="preserve">ook bij aan de vraagstukken in </w:t>
      </w:r>
      <w:r w:rsidR="003B6775">
        <w:t>g</w:t>
      </w:r>
      <w:r w:rsidR="003B6775" w:rsidRPr="003B6775">
        <w:t>emeenten met geen of zeer beperkte bevolkingsgroei</w:t>
      </w:r>
      <w:r w:rsidR="006D336C">
        <w:t xml:space="preserve">. </w:t>
      </w:r>
      <w:r w:rsidR="000F74F8">
        <w:t>Met</w:t>
      </w:r>
      <w:r w:rsidR="006D336C">
        <w:t xml:space="preserve"> de VNG </w:t>
      </w:r>
      <w:r w:rsidR="000F74F8">
        <w:t xml:space="preserve">is </w:t>
      </w:r>
      <w:r w:rsidR="006D336C">
        <w:t xml:space="preserve">afgesproken dat </w:t>
      </w:r>
      <w:r w:rsidR="005232D4">
        <w:t xml:space="preserve">in overleg met de VNG wordt bezien hoe </w:t>
      </w:r>
      <w:r w:rsidR="006D336C">
        <w:t xml:space="preserve">de marktmeester eerder en nadrukkelijker in beeld </w:t>
      </w:r>
      <w:r w:rsidR="005232D4">
        <w:t xml:space="preserve">kan komen </w:t>
      </w:r>
      <w:r w:rsidR="006D336C">
        <w:t xml:space="preserve">bij </w:t>
      </w:r>
      <w:r w:rsidR="005232D4">
        <w:t>deze gemeenten</w:t>
      </w:r>
      <w:r w:rsidR="006D336C">
        <w:t>.</w:t>
      </w:r>
      <w:r w:rsidR="00344CC5">
        <w:t xml:space="preserve"> </w:t>
      </w:r>
    </w:p>
    <w:p w14:paraId="0EEB2409" w14:textId="77777777" w:rsidR="000F74F8" w:rsidRDefault="000F74F8" w:rsidP="00681156"/>
    <w:p w14:paraId="6DD21547" w14:textId="77777777" w:rsidR="00821983" w:rsidRDefault="00821983" w:rsidP="00681156">
      <w:r>
        <w:t xml:space="preserve">Indien ondanks alle inspanningen van onder meer gemeenten en </w:t>
      </w:r>
      <w:r w:rsidR="00BF3F81">
        <w:t>investeerders</w:t>
      </w:r>
      <w:r>
        <w:t xml:space="preserve"> alsnog herplaatsing niet mogelijk zou blijken, dan </w:t>
      </w:r>
      <w:r w:rsidR="006D336C">
        <w:t xml:space="preserve">biedt de financiële herplaatsingsgarantie </w:t>
      </w:r>
      <w:r>
        <w:t xml:space="preserve">een financiële compensatie </w:t>
      </w:r>
      <w:r w:rsidR="000E0280">
        <w:t>voor de investeerders</w:t>
      </w:r>
      <w:r>
        <w:t xml:space="preserve">. Vanuit de aard en verantwoordelijkheden van </w:t>
      </w:r>
      <w:r w:rsidR="00BF3F81">
        <w:t>de partijen om te komen tot versnelling in tijdelijke huisvesting,</w:t>
      </w:r>
      <w:r>
        <w:t xml:space="preserve"> zullen Rijk, gemeenten en </w:t>
      </w:r>
      <w:r w:rsidR="00C13EB4">
        <w:t xml:space="preserve">investeerders waaronder </w:t>
      </w:r>
      <w:r>
        <w:t xml:space="preserve">corporaties </w:t>
      </w:r>
      <w:r w:rsidR="00BF3F81">
        <w:t xml:space="preserve">ieder </w:t>
      </w:r>
      <w:r>
        <w:t xml:space="preserve">een deel van het risico dragen. De onderlinge verdeling is </w:t>
      </w:r>
      <w:r w:rsidR="000E0280">
        <w:t>60</w:t>
      </w:r>
      <w:r>
        <w:t>% Rijk, 2</w:t>
      </w:r>
      <w:r w:rsidR="000E0280">
        <w:t>5</w:t>
      </w:r>
      <w:r>
        <w:t>% gemeente en 1</w:t>
      </w:r>
      <w:r w:rsidR="000E0280">
        <w:t>5</w:t>
      </w:r>
      <w:r>
        <w:t xml:space="preserve">% investeerder. Het Rijk </w:t>
      </w:r>
      <w:r w:rsidR="00344CC5">
        <w:t xml:space="preserve">en de gemeenten nemen </w:t>
      </w:r>
      <w:r>
        <w:t xml:space="preserve">een aanzienlijk deel van het risico op zich om </w:t>
      </w:r>
      <w:r w:rsidR="00BF3F81">
        <w:t>investeerders</w:t>
      </w:r>
      <w:r>
        <w:t xml:space="preserve"> te ondersteunen in het opvangen van de financiële onzekerheden. Het is mede passend dat het Rijk het grootste gedeelte op zich neemt omdat gemeenten en </w:t>
      </w:r>
      <w:r w:rsidR="00BF3F81">
        <w:t xml:space="preserve">investeerders </w:t>
      </w:r>
      <w:r>
        <w:t xml:space="preserve">sowieso al extra kosten maken voor flexwoningen ten opzichte van reguliere bouw. </w:t>
      </w:r>
      <w:r w:rsidR="00F31A6F">
        <w:t>Daarnaast worden in de markt momenteel op kleine schaal oplossingen aangeboden door bouwers van tijdelijke woningen (zoals lease constructies en buy-back programma’s), maar deze partijen geven aan dit niet aan te kunnen bieden op de benodigde grotere schaal. Een dergelijk garantiesysteem als de financiële herplaatsingsgarantie zal dan ook niet snel door de markt opgezet kunnen worden, ook omdat het gaat om betaalbare woningen voor sociale huur.</w:t>
      </w:r>
      <w:r w:rsidR="009A5431">
        <w:t xml:space="preserve"> Voor het risicodeel van het Rijk is uiteindelijk €220 mln. beschikbaar.</w:t>
      </w:r>
      <w:r w:rsidR="009A5431">
        <w:rPr>
          <w:rStyle w:val="Voetnootmarkering"/>
        </w:rPr>
        <w:footnoteReference w:id="2"/>
      </w:r>
    </w:p>
    <w:p w14:paraId="2F8744D9" w14:textId="77777777" w:rsidR="00821983" w:rsidRDefault="00821983" w:rsidP="00681156"/>
    <w:p w14:paraId="7368FCA4" w14:textId="3B76C765" w:rsidR="0029641F" w:rsidRPr="00912E38" w:rsidRDefault="00A13131" w:rsidP="0029641F">
      <w:bookmarkStart w:id="2" w:name="_Hlk120917828"/>
      <w:r>
        <w:t xml:space="preserve">De </w:t>
      </w:r>
      <w:r w:rsidR="00AD7222">
        <w:t xml:space="preserve">herplaatsingsgarantie is onderdeel van een set maatregelen om de realisatie van flexwoningen te versnellen. Vanaf afgelopen zomer wordt hard gewerkt om </w:t>
      </w:r>
      <w:r w:rsidR="00AD7222">
        <w:lastRenderedPageBreak/>
        <w:t xml:space="preserve">deze maatregelen vorm te geven en uit te voeren. </w:t>
      </w:r>
      <w:r w:rsidR="009A5431">
        <w:t>Deze inzet gaa</w:t>
      </w:r>
      <w:r>
        <w:t>t</w:t>
      </w:r>
      <w:r w:rsidR="009A5431">
        <w:t xml:space="preserve"> de komende tijd effect opleveren. U</w:t>
      </w:r>
      <w:r w:rsidR="009A5431" w:rsidRPr="00912E38">
        <w:t xml:space="preserve">it contacten met partijen via bijvoorbeeld de taskforce en uit aanvragen voor diverse regelingen </w:t>
      </w:r>
      <w:r w:rsidR="009A5431">
        <w:t xml:space="preserve">blijkt dat </w:t>
      </w:r>
      <w:r w:rsidR="009A5431" w:rsidRPr="00912E38">
        <w:t xml:space="preserve">er veel woningen in de pijplijn </w:t>
      </w:r>
      <w:r w:rsidR="009A5431">
        <w:t xml:space="preserve">zitten </w:t>
      </w:r>
      <w:r w:rsidR="009A5431" w:rsidRPr="00912E38">
        <w:t>met als gevolg een flinke bouwstroom in 2023</w:t>
      </w:r>
      <w:r w:rsidR="009A5431">
        <w:t>,</w:t>
      </w:r>
      <w:r w:rsidR="009A5431" w:rsidRPr="00912E38">
        <w:t xml:space="preserve"> die zich voort zal zetten in 2024.</w:t>
      </w:r>
      <w:r w:rsidR="009A5431">
        <w:t xml:space="preserve"> Keerzijde van het feit dat de maatregelen dit najaar nog in ontwikkeling zijn, is </w:t>
      </w:r>
      <w:r w:rsidR="00A01A5D">
        <w:t xml:space="preserve">dat </w:t>
      </w:r>
      <w:r w:rsidR="009A5431">
        <w:t xml:space="preserve">in het lopende jaar </w:t>
      </w:r>
      <w:r w:rsidR="0029641F" w:rsidRPr="00912E38">
        <w:t xml:space="preserve">de doelstelling van 7.500 flexwoningen </w:t>
      </w:r>
      <w:r w:rsidR="00285905">
        <w:t xml:space="preserve">in 2022 </w:t>
      </w:r>
      <w:r w:rsidR="0029641F" w:rsidRPr="00912E38">
        <w:t>naar verwachting niet word</w:t>
      </w:r>
      <w:r w:rsidR="00A01A5D">
        <w:t>t</w:t>
      </w:r>
      <w:r w:rsidR="0029641F" w:rsidRPr="00912E38">
        <w:t xml:space="preserve"> gehaald. Verwachting is dat er in heel 2022 een kleine 5.000 flexwoningen gerealiseerd zullen zijn. </w:t>
      </w:r>
      <w:r w:rsidR="009A5431">
        <w:t xml:space="preserve">Mede doordat we nu afspraken </w:t>
      </w:r>
      <w:r w:rsidR="00E63E91">
        <w:t xml:space="preserve">hebben </w:t>
      </w:r>
      <w:r w:rsidR="009A5431">
        <w:t xml:space="preserve">gemaakt over de herplaatsingsgarantie, </w:t>
      </w:r>
      <w:r>
        <w:t>ga ik ervan uit</w:t>
      </w:r>
      <w:r w:rsidR="0029641F" w:rsidRPr="00912E38">
        <w:t xml:space="preserve"> dat </w:t>
      </w:r>
      <w:r w:rsidR="00A01A5D" w:rsidRPr="00912E38">
        <w:t>de doelstelling van 37.500</w:t>
      </w:r>
      <w:r w:rsidR="00A01A5D">
        <w:t xml:space="preserve"> </w:t>
      </w:r>
      <w:r w:rsidR="0029641F" w:rsidRPr="00912E38">
        <w:t xml:space="preserve">eind 2024 wordt </w:t>
      </w:r>
      <w:r w:rsidR="00A01A5D">
        <w:t>verwezenlijkt</w:t>
      </w:r>
      <w:r>
        <w:t xml:space="preserve"> zoals afgesproken met gemeenten en provincies</w:t>
      </w:r>
      <w:r w:rsidR="001135E7">
        <w:rPr>
          <w:rStyle w:val="Voetnootmarkering"/>
        </w:rPr>
        <w:footnoteReference w:id="3"/>
      </w:r>
      <w:r w:rsidR="0029641F" w:rsidRPr="00912E38">
        <w:t>.</w:t>
      </w:r>
    </w:p>
    <w:bookmarkEnd w:id="2"/>
    <w:p w14:paraId="1DB1082E" w14:textId="77777777" w:rsidR="00B83540" w:rsidRDefault="00B83540" w:rsidP="00681156"/>
    <w:p w14:paraId="2B939611" w14:textId="77777777" w:rsidR="002B7F2F" w:rsidRDefault="00821983" w:rsidP="00681156">
      <w:r>
        <w:t>Nu een akkoord is bereikt op de contouren</w:t>
      </w:r>
      <w:r w:rsidR="00B83540">
        <w:t xml:space="preserve"> van de herplaatsing</w:t>
      </w:r>
      <w:r>
        <w:t xml:space="preserve">, </w:t>
      </w:r>
      <w:r w:rsidR="00B83540">
        <w:t xml:space="preserve">komt </w:t>
      </w:r>
      <w:r w:rsidR="00671A4C">
        <w:t>het</w:t>
      </w:r>
      <w:r w:rsidR="00F4093C">
        <w:t xml:space="preserve"> </w:t>
      </w:r>
      <w:r w:rsidR="00B83540">
        <w:t xml:space="preserve">doel </w:t>
      </w:r>
      <w:r w:rsidR="00671A4C">
        <w:t xml:space="preserve">om snel meer flexwoningen te kunnen realiseren </w:t>
      </w:r>
      <w:r w:rsidR="00B83540">
        <w:t xml:space="preserve">veel dichterbij. Projecten die nu in afwachting zijn van meer zekerheden </w:t>
      </w:r>
      <w:r>
        <w:t xml:space="preserve">kunnen </w:t>
      </w:r>
      <w:r w:rsidR="00B83540">
        <w:t xml:space="preserve">met de herplaatsingsgarantie worden doorgezet. </w:t>
      </w:r>
      <w:r w:rsidR="00671A4C">
        <w:t xml:space="preserve">Komende periode zullen de contouren </w:t>
      </w:r>
      <w:r>
        <w:t xml:space="preserve">worden omgezet in juridische </w:t>
      </w:r>
      <w:r w:rsidR="004026EA">
        <w:t xml:space="preserve">voorwaarden (o.a. op grond van de staatssteunregels) </w:t>
      </w:r>
      <w:r>
        <w:t xml:space="preserve">en kan een organisatie voor de uitvoering worden </w:t>
      </w:r>
      <w:r w:rsidR="00F31A6F">
        <w:t>ingericht</w:t>
      </w:r>
      <w:r>
        <w:t xml:space="preserve">. Er gaat nog enige tijd overheen voordat woningen formeel kunnen worden ingeschreven bij deze garantie. </w:t>
      </w:r>
      <w:r w:rsidR="00F31A6F">
        <w:t xml:space="preserve">Op het moment dat de garantie nader is uitgewerkt en de organisatie ingericht is zal het toetsingskader risicoregelingen voor deze garantie worden aangevuld en aan uw Kamer worden toegezonden. </w:t>
      </w:r>
      <w:r w:rsidR="00671A4C">
        <w:t xml:space="preserve">Met Aedes en VNG heb ik besproken dat deze contouren nu voldoende zijn </w:t>
      </w:r>
      <w:r w:rsidR="004076B1">
        <w:t xml:space="preserve">voor Aedes om </w:t>
      </w:r>
      <w:r w:rsidR="00912E38">
        <w:t xml:space="preserve">het inkooptraject van flexwoningen op korte termijn te </w:t>
      </w:r>
      <w:r w:rsidR="00671A4C">
        <w:t xml:space="preserve">starten en </w:t>
      </w:r>
      <w:r w:rsidR="004076B1">
        <w:t xml:space="preserve">voor gemeenten om </w:t>
      </w:r>
      <w:r w:rsidR="00671A4C">
        <w:t xml:space="preserve">op projecten </w:t>
      </w:r>
      <w:r w:rsidR="004076B1">
        <w:t xml:space="preserve">te kunnen </w:t>
      </w:r>
      <w:r w:rsidR="00671A4C">
        <w:t>gaan beslissen.</w:t>
      </w:r>
    </w:p>
    <w:p w14:paraId="57F0DD58" w14:textId="77777777" w:rsidR="000F74F8" w:rsidRDefault="000F74F8" w:rsidP="00681156"/>
    <w:p w14:paraId="4E686AA2" w14:textId="77777777" w:rsidR="00835829" w:rsidRDefault="00835829" w:rsidP="00681156"/>
    <w:p w14:paraId="16CFB7C0" w14:textId="77777777" w:rsidR="00835829" w:rsidRDefault="00835829" w:rsidP="00835829">
      <w:r>
        <w:rPr>
          <w:b/>
        </w:rPr>
        <w:t>Invulling artikel 3.1 van de Comptabiliteitswet (CW3.1)</w:t>
      </w:r>
    </w:p>
    <w:p w14:paraId="39C8EDA2" w14:textId="77777777" w:rsidR="00835829" w:rsidRDefault="00835829" w:rsidP="00835829">
      <w:r>
        <w:t>Op grond van de nieuwe werkwijze met betrekking tot artikel 3.1 van de Comptabiliteitswet</w:t>
      </w:r>
      <w:r>
        <w:rPr>
          <w:rStyle w:val="Voetnootmarkering"/>
        </w:rPr>
        <w:footnoteReference w:id="4"/>
      </w:r>
      <w:r>
        <w:t xml:space="preserve"> is het met ingang van 1 november 2021 verplicht om beleidsvoorstellen met budgettair beslag van meer dan 20 miljoen euro per jaar in een kader toe te lichten. Voor Financiële herplaatsingsgarantie ziet dit kader er als volgt uit:</w:t>
      </w:r>
    </w:p>
    <w:p w14:paraId="6C51321F" w14:textId="77777777" w:rsidR="00835829" w:rsidRDefault="00835829" w:rsidP="00835829"/>
    <w:tbl>
      <w:tblPr>
        <w:tblStyle w:val="Standaardtabelmetranden"/>
        <w:tblW w:w="7503" w:type="dxa"/>
        <w:tblInd w:w="107" w:type="dxa"/>
        <w:tblLayout w:type="fixed"/>
        <w:tblLook w:val="07E0" w:firstRow="1" w:lastRow="1" w:firstColumn="1" w:lastColumn="1" w:noHBand="1" w:noVBand="1"/>
      </w:tblPr>
      <w:tblGrid>
        <w:gridCol w:w="2851"/>
        <w:gridCol w:w="4652"/>
      </w:tblGrid>
      <w:tr w:rsidR="00835829" w14:paraId="5779BEF7" w14:textId="77777777" w:rsidTr="00814470">
        <w:tc>
          <w:tcPr>
            <w:tcW w:w="720" w:type="dxa"/>
            <w:gridSpan w:val="2"/>
          </w:tcPr>
          <w:p w14:paraId="01FCBA0A" w14:textId="77777777" w:rsidR="00835829" w:rsidRDefault="00835829" w:rsidP="00814470">
            <w:r>
              <w:rPr>
                <w:b/>
              </w:rPr>
              <w:t>Beleidskeuzes uitgelegd</w:t>
            </w:r>
            <w:r>
              <w:br/>
              <w:t>Onderbouwing doeltreffendheid, doelmatigheid en evaluatie (CW 3.1)</w:t>
            </w:r>
          </w:p>
        </w:tc>
      </w:tr>
      <w:tr w:rsidR="00835829" w14:paraId="68A0BCF7" w14:textId="77777777" w:rsidTr="00814470">
        <w:tc>
          <w:tcPr>
            <w:tcW w:w="2851" w:type="dxa"/>
          </w:tcPr>
          <w:p w14:paraId="749FDF73" w14:textId="77777777" w:rsidR="00835829" w:rsidRDefault="00835829" w:rsidP="00814470">
            <w:r>
              <w:rPr>
                <w:b/>
              </w:rPr>
              <w:t>Doel(en)</w:t>
            </w:r>
          </w:p>
        </w:tc>
        <w:tc>
          <w:tcPr>
            <w:tcW w:w="4652" w:type="dxa"/>
          </w:tcPr>
          <w:p w14:paraId="344C27D4" w14:textId="77777777" w:rsidR="00835829" w:rsidRDefault="00835829" w:rsidP="00814470">
            <w:r>
              <w:t>Versnelling van tijdelijke huisvesting door de bouw van flexwoningen</w:t>
            </w:r>
          </w:p>
        </w:tc>
      </w:tr>
      <w:tr w:rsidR="00835829" w14:paraId="6B3F6213" w14:textId="77777777" w:rsidTr="00814470">
        <w:tc>
          <w:tcPr>
            <w:tcW w:w="2851" w:type="dxa"/>
          </w:tcPr>
          <w:p w14:paraId="797E3E79" w14:textId="77777777" w:rsidR="00835829" w:rsidRDefault="00835829" w:rsidP="00814470">
            <w:r>
              <w:rPr>
                <w:b/>
              </w:rPr>
              <w:t>Beleidsinstrument(en)</w:t>
            </w:r>
          </w:p>
        </w:tc>
        <w:tc>
          <w:tcPr>
            <w:tcW w:w="4652" w:type="dxa"/>
          </w:tcPr>
          <w:p w14:paraId="7B2F93A0" w14:textId="77777777" w:rsidR="00835829" w:rsidRDefault="00835829" w:rsidP="00814470">
            <w:r>
              <w:t>een financiële herplaatsingsgarantie bestaande uit een gezamenlijke herplaatsingsladder, kwaliteitseisen, de inzet van een marktmeester en waar nodig financiële compensatie van investeerders</w:t>
            </w:r>
          </w:p>
        </w:tc>
      </w:tr>
      <w:tr w:rsidR="00835829" w14:paraId="29F42E1B" w14:textId="77777777" w:rsidTr="00814470">
        <w:tc>
          <w:tcPr>
            <w:tcW w:w="2851" w:type="dxa"/>
          </w:tcPr>
          <w:p w14:paraId="79A263F7" w14:textId="77777777" w:rsidR="00835829" w:rsidRDefault="00835829" w:rsidP="00814470">
            <w:r>
              <w:rPr>
                <w:b/>
              </w:rPr>
              <w:lastRenderedPageBreak/>
              <w:t>Financiële gevolgen voor het Rijk</w:t>
            </w:r>
          </w:p>
        </w:tc>
        <w:tc>
          <w:tcPr>
            <w:tcW w:w="4652" w:type="dxa"/>
          </w:tcPr>
          <w:p w14:paraId="65E1FEAD" w14:textId="77777777" w:rsidR="00835829" w:rsidRDefault="00835829" w:rsidP="00814470">
            <w:r>
              <w:t>€ 220 mln waarvan € 20 mln vanuit de BZK-begroting 2023 en € 200 mln vanuit de Aanvullende post.</w:t>
            </w:r>
          </w:p>
        </w:tc>
      </w:tr>
      <w:tr w:rsidR="00835829" w14:paraId="45DEB579" w14:textId="77777777" w:rsidTr="00814470">
        <w:tc>
          <w:tcPr>
            <w:tcW w:w="2851" w:type="dxa"/>
          </w:tcPr>
          <w:p w14:paraId="179993EF" w14:textId="77777777" w:rsidR="00835829" w:rsidRDefault="00835829" w:rsidP="00814470">
            <w:r>
              <w:rPr>
                <w:b/>
              </w:rPr>
              <w:t>Financiële gevolgen voor maatschappelijke sectoren</w:t>
            </w:r>
          </w:p>
        </w:tc>
        <w:tc>
          <w:tcPr>
            <w:tcW w:w="4652" w:type="dxa"/>
          </w:tcPr>
          <w:p w14:paraId="79CCEE4B" w14:textId="77777777" w:rsidR="00835829" w:rsidRDefault="00835829" w:rsidP="00814470">
            <w:r>
              <w:t>Gemeenten en investeerders waaronder corporaties dragen een deel van het risico van de financiële uitkering</w:t>
            </w:r>
          </w:p>
        </w:tc>
      </w:tr>
      <w:tr w:rsidR="00835829" w14:paraId="311ADE1A" w14:textId="77777777" w:rsidTr="00814470">
        <w:tc>
          <w:tcPr>
            <w:tcW w:w="2851" w:type="dxa"/>
          </w:tcPr>
          <w:p w14:paraId="0BE4B11C" w14:textId="77777777" w:rsidR="00835829" w:rsidRDefault="00835829" w:rsidP="00814470">
            <w:r>
              <w:rPr>
                <w:b/>
              </w:rPr>
              <w:t>Nagestreefde doeltreffendheid</w:t>
            </w:r>
          </w:p>
        </w:tc>
        <w:tc>
          <w:tcPr>
            <w:tcW w:w="4652" w:type="dxa"/>
          </w:tcPr>
          <w:p w14:paraId="5F6B43F4" w14:textId="77777777" w:rsidR="00835829" w:rsidRDefault="00835829" w:rsidP="00814470">
            <w:r>
              <w:t>Kortheidshalve wordt verwezen naar het bijgevoegde toetsingskader risicoregeling voor deze garantie</w:t>
            </w:r>
          </w:p>
        </w:tc>
      </w:tr>
      <w:tr w:rsidR="00835829" w14:paraId="5B1BC888" w14:textId="77777777" w:rsidTr="00814470">
        <w:tc>
          <w:tcPr>
            <w:tcW w:w="2851" w:type="dxa"/>
          </w:tcPr>
          <w:p w14:paraId="6EC76BF3" w14:textId="77777777" w:rsidR="00835829" w:rsidRDefault="00835829" w:rsidP="00814470">
            <w:r>
              <w:rPr>
                <w:b/>
              </w:rPr>
              <w:t>Nagestreefde doelmatigheid</w:t>
            </w:r>
          </w:p>
        </w:tc>
        <w:tc>
          <w:tcPr>
            <w:tcW w:w="4652" w:type="dxa"/>
          </w:tcPr>
          <w:p w14:paraId="738547AE" w14:textId="77777777" w:rsidR="00835829" w:rsidRDefault="00835829" w:rsidP="00814470">
            <w:r>
              <w:t>Kortheidshalve wordt verwezen naar het bijgevoegde toetsingskader risicoregeling voor deze garantie</w:t>
            </w:r>
          </w:p>
        </w:tc>
      </w:tr>
      <w:tr w:rsidR="00835829" w14:paraId="5814525A" w14:textId="77777777" w:rsidTr="00814470">
        <w:tc>
          <w:tcPr>
            <w:tcW w:w="2851" w:type="dxa"/>
          </w:tcPr>
          <w:p w14:paraId="53E90004" w14:textId="77777777" w:rsidR="00835829" w:rsidRDefault="00835829" w:rsidP="00814470">
            <w:r>
              <w:rPr>
                <w:b/>
              </w:rPr>
              <w:t>Evaluatieparagraaf</w:t>
            </w:r>
          </w:p>
        </w:tc>
        <w:tc>
          <w:tcPr>
            <w:tcW w:w="4202" w:type="dxa"/>
          </w:tcPr>
          <w:p w14:paraId="2CB287E6" w14:textId="77777777" w:rsidR="00835829" w:rsidRDefault="00835829" w:rsidP="00814470">
            <w:r>
              <w:t>Kortheidshalve wordt verwezen naar het bijgevoegde toetsingskader risicoregeling voor deze garantie</w:t>
            </w:r>
          </w:p>
        </w:tc>
      </w:tr>
    </w:tbl>
    <w:p w14:paraId="1EA831B2" w14:textId="77777777" w:rsidR="00835829" w:rsidRDefault="00835829" w:rsidP="00835829"/>
    <w:p w14:paraId="35873BD4" w14:textId="77777777" w:rsidR="002B7F2F" w:rsidRDefault="002B7F2F"/>
    <w:p w14:paraId="200EF668" w14:textId="77777777" w:rsidR="002B7F2F" w:rsidRDefault="00C84E4F">
      <w:pPr>
        <w:pStyle w:val="WitregelW1bodytekst"/>
      </w:pPr>
      <w:r>
        <w:t xml:space="preserve"> </w:t>
      </w:r>
    </w:p>
    <w:p w14:paraId="790FA4B5" w14:textId="77777777" w:rsidR="002B7F2F" w:rsidRDefault="00C84E4F">
      <w:r>
        <w:t>De minister voor Volkshuisvesting en Ruimtelijke Ordening,</w:t>
      </w:r>
      <w:r>
        <w:br/>
      </w:r>
      <w:r>
        <w:br/>
      </w:r>
      <w:r>
        <w:br/>
      </w:r>
      <w:r>
        <w:br/>
      </w:r>
      <w:r>
        <w:br/>
      </w:r>
      <w:r>
        <w:br/>
        <w:t>Hugo de Jonge</w:t>
      </w:r>
    </w:p>
    <w:p w14:paraId="682EA50B" w14:textId="77777777" w:rsidR="002B7F2F" w:rsidRDefault="002B7F2F"/>
    <w:p w14:paraId="607E8969" w14:textId="77777777" w:rsidR="002864E1" w:rsidRDefault="002864E1">
      <w:pPr>
        <w:spacing w:line="240" w:lineRule="auto"/>
      </w:pPr>
    </w:p>
    <w:p w14:paraId="716A68FE" w14:textId="77777777" w:rsidR="002864E1" w:rsidRDefault="002864E1">
      <w:pPr>
        <w:spacing w:line="240" w:lineRule="auto"/>
      </w:pPr>
    </w:p>
    <w:p w14:paraId="1A4ACF0A" w14:textId="77777777" w:rsidR="002864E1" w:rsidRDefault="002864E1">
      <w:pPr>
        <w:spacing w:line="240" w:lineRule="auto"/>
      </w:pPr>
    </w:p>
    <w:p w14:paraId="42F5625D" w14:textId="77777777" w:rsidR="002864E1" w:rsidRDefault="002864E1" w:rsidP="002864E1"/>
    <w:p w14:paraId="5ACB584F" w14:textId="77777777" w:rsidR="002864E1" w:rsidRDefault="002864E1" w:rsidP="002864E1"/>
    <w:p w14:paraId="4607B653" w14:textId="77777777" w:rsidR="00DF375F" w:rsidRDefault="00DF375F">
      <w:pPr>
        <w:spacing w:line="240" w:lineRule="auto"/>
      </w:pPr>
      <w:r>
        <w:br w:type="page"/>
      </w:r>
    </w:p>
    <w:p w14:paraId="30EA7003" w14:textId="77777777" w:rsidR="002B7F2F" w:rsidRDefault="00DF375F" w:rsidP="00835829">
      <w:r w:rsidRPr="002864E1">
        <w:rPr>
          <w:b/>
          <w:bCs/>
        </w:rPr>
        <w:lastRenderedPageBreak/>
        <w:t>Bijlage</w:t>
      </w:r>
      <w:r>
        <w:rPr>
          <w:b/>
          <w:bCs/>
        </w:rPr>
        <w:t>:</w:t>
      </w:r>
      <w:r>
        <w:t xml:space="preserve"> </w:t>
      </w:r>
      <w:bookmarkEnd w:id="1"/>
    </w:p>
    <w:p w14:paraId="2CD7DF1C" w14:textId="77777777" w:rsidR="00835829" w:rsidRDefault="00835829"/>
    <w:sectPr w:rsidR="00835829">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paperSrc w:first="4" w:other="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01A1A" w14:textId="77777777" w:rsidR="002F6C5F" w:rsidRDefault="002F6C5F">
      <w:pPr>
        <w:spacing w:line="240" w:lineRule="auto"/>
      </w:pPr>
      <w:r>
        <w:separator/>
      </w:r>
    </w:p>
  </w:endnote>
  <w:endnote w:type="continuationSeparator" w:id="0">
    <w:p w14:paraId="322E9281" w14:textId="77777777" w:rsidR="002F6C5F" w:rsidRDefault="002F6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E18E" w14:textId="77777777" w:rsidR="00BD22C6" w:rsidRDefault="00BD22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A6EF" w14:textId="77777777" w:rsidR="00BD22C6" w:rsidRDefault="00BD22C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BA54" w14:textId="77777777" w:rsidR="002B7F2F" w:rsidRDefault="002B7F2F">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12A6A" w14:textId="77777777" w:rsidR="002F6C5F" w:rsidRDefault="002F6C5F">
      <w:pPr>
        <w:spacing w:line="240" w:lineRule="auto"/>
      </w:pPr>
      <w:r>
        <w:separator/>
      </w:r>
    </w:p>
  </w:footnote>
  <w:footnote w:type="continuationSeparator" w:id="0">
    <w:p w14:paraId="098A1900" w14:textId="77777777" w:rsidR="002F6C5F" w:rsidRDefault="002F6C5F">
      <w:pPr>
        <w:spacing w:line="240" w:lineRule="auto"/>
      </w:pPr>
      <w:r>
        <w:continuationSeparator/>
      </w:r>
    </w:p>
  </w:footnote>
  <w:footnote w:id="1">
    <w:p w14:paraId="78B92CC8" w14:textId="77777777" w:rsidR="007B5D99" w:rsidRPr="007B5D99" w:rsidRDefault="007B5D99">
      <w:pPr>
        <w:pStyle w:val="Voetnoottekst"/>
        <w:rPr>
          <w:sz w:val="18"/>
          <w:szCs w:val="18"/>
        </w:rPr>
      </w:pPr>
      <w:r>
        <w:rPr>
          <w:rStyle w:val="Voetnootmarkering"/>
        </w:rPr>
        <w:footnoteRef/>
      </w:r>
      <w:r>
        <w:t xml:space="preserve"> </w:t>
      </w:r>
      <w:r w:rsidRPr="007B5D99">
        <w:rPr>
          <w:sz w:val="16"/>
          <w:szCs w:val="16"/>
        </w:rPr>
        <w:t>Kamerstukken II, 2022-23, 36 200, nr. 107</w:t>
      </w:r>
    </w:p>
  </w:footnote>
  <w:footnote w:id="2">
    <w:p w14:paraId="72F7E472" w14:textId="77777777" w:rsidR="009A5431" w:rsidRDefault="009A5431">
      <w:pPr>
        <w:pStyle w:val="Voetnoottekst"/>
      </w:pPr>
      <w:r>
        <w:rPr>
          <w:rStyle w:val="Voetnootmarkering"/>
        </w:rPr>
        <w:footnoteRef/>
      </w:r>
      <w:r>
        <w:t xml:space="preserve"> </w:t>
      </w:r>
      <w:r w:rsidRPr="009A5431">
        <w:rPr>
          <w:sz w:val="16"/>
          <w:szCs w:val="16"/>
        </w:rPr>
        <w:t>Waarvan €20 mln. vanuit de BZK begroting en €200 mln. op de aanvullende post.</w:t>
      </w:r>
    </w:p>
  </w:footnote>
  <w:footnote w:id="3">
    <w:p w14:paraId="56CC2F2D" w14:textId="39B64EDD" w:rsidR="001135E7" w:rsidRDefault="001135E7">
      <w:pPr>
        <w:pStyle w:val="Voetnoottekst"/>
      </w:pPr>
      <w:r>
        <w:rPr>
          <w:rStyle w:val="Voetnootmarkering"/>
        </w:rPr>
        <w:footnoteRef/>
      </w:r>
      <w:r>
        <w:t xml:space="preserve"> </w:t>
      </w:r>
      <w:r w:rsidRPr="001135E7">
        <w:rPr>
          <w:sz w:val="16"/>
          <w:szCs w:val="16"/>
        </w:rPr>
        <w:t>Kamerstuk 19637, nr. 2983</w:t>
      </w:r>
    </w:p>
  </w:footnote>
  <w:footnote w:id="4">
    <w:p w14:paraId="2B03E9EB" w14:textId="77777777" w:rsidR="00835829" w:rsidRDefault="00835829" w:rsidP="00835829">
      <w:pPr>
        <w:pStyle w:val="Voetnoottekst"/>
      </w:pPr>
      <w:r>
        <w:rPr>
          <w:rStyle w:val="Voetnootmarkering"/>
        </w:rPr>
        <w:footnoteRef/>
      </w:r>
      <w:r>
        <w:t xml:space="preserve"> </w:t>
      </w:r>
      <w:r w:rsidRPr="00405416">
        <w:rPr>
          <w:sz w:val="16"/>
          <w:szCs w:val="16"/>
        </w:rPr>
        <w:t>Kamerstukken II 2021/22, 31865, nr. 198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EB06" w14:textId="77777777" w:rsidR="00BD22C6" w:rsidRDefault="00BD22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2875" w14:textId="77777777" w:rsidR="002B7F2F" w:rsidRDefault="00C84E4F">
    <w:pPr>
      <w:pStyle w:val="MarginlessContainer"/>
    </w:pPr>
    <w:r>
      <w:rPr>
        <w:noProof/>
      </w:rPr>
      <mc:AlternateContent>
        <mc:Choice Requires="wps">
          <w:drawing>
            <wp:anchor distT="0" distB="0" distL="0" distR="0" simplePos="0" relativeHeight="251651584" behindDoc="0" locked="1" layoutInCell="1" allowOverlap="1" wp14:anchorId="621704F5" wp14:editId="28261B66">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1B5F275D" w14:textId="77777777" w:rsidR="007D5C8D" w:rsidRDefault="007D5C8D"/>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1704F5"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" filled="f" stroked="f">
              <v:textbox inset="0,0,0,0">
                <w:txbxContent>
                  <w:p w14:paraId="1B5F275D" w14:textId="77777777" w:rsidR="007D5C8D" w:rsidRDefault="007D5C8D"/>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58F5DD36" wp14:editId="6B34538E">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4214485E" w14:textId="35F60738" w:rsidR="00EE153A" w:rsidRDefault="00D14A24">
                          <w:pPr>
                            <w:pStyle w:val="Referentiegegevens"/>
                          </w:pPr>
                          <w:r>
                            <w:t xml:space="preserve">Pagina </w:t>
                          </w:r>
                          <w:r>
                            <w:fldChar w:fldCharType="begin"/>
                          </w:r>
                          <w:r>
                            <w:instrText>PAGE</w:instrText>
                          </w:r>
                          <w:r>
                            <w:fldChar w:fldCharType="separate"/>
                          </w:r>
                          <w:r w:rsidR="00081F1D">
                            <w:rPr>
                              <w:noProof/>
                            </w:rPr>
                            <w:t>5</w:t>
                          </w:r>
                          <w:r>
                            <w:fldChar w:fldCharType="end"/>
                          </w:r>
                          <w:r>
                            <w:t xml:space="preserve"> van </w:t>
                          </w:r>
                          <w:r>
                            <w:fldChar w:fldCharType="begin"/>
                          </w:r>
                          <w:r>
                            <w:instrText>NUMPAGES</w:instrText>
                          </w:r>
                          <w:r>
                            <w:fldChar w:fldCharType="separate"/>
                          </w:r>
                          <w:r w:rsidR="00081F1D">
                            <w:rPr>
                              <w:noProof/>
                            </w:rPr>
                            <w:t>5</w:t>
                          </w:r>
                          <w:r>
                            <w:fldChar w:fldCharType="end"/>
                          </w:r>
                        </w:p>
                      </w:txbxContent>
                    </wps:txbx>
                    <wps:bodyPr vert="horz" wrap="square" lIns="0" tIns="0" rIns="0" bIns="0" anchor="t" anchorCtr="0"/>
                  </wps:wsp>
                </a:graphicData>
              </a:graphic>
            </wp:anchor>
          </w:drawing>
        </mc:Choice>
        <mc:Fallback>
          <w:pict>
            <v:shapetype w14:anchorId="58F5DD36"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4214485E" w14:textId="35F60738" w:rsidR="00EE153A" w:rsidRDefault="00D14A24">
                    <w:pPr>
                      <w:pStyle w:val="Referentiegegevens"/>
                    </w:pPr>
                    <w:r>
                      <w:t xml:space="preserve">Pagina </w:t>
                    </w:r>
                    <w:r>
                      <w:fldChar w:fldCharType="begin"/>
                    </w:r>
                    <w:r>
                      <w:instrText>PAGE</w:instrText>
                    </w:r>
                    <w:r>
                      <w:fldChar w:fldCharType="separate"/>
                    </w:r>
                    <w:r w:rsidR="00081F1D">
                      <w:rPr>
                        <w:noProof/>
                      </w:rPr>
                      <w:t>5</w:t>
                    </w:r>
                    <w:r>
                      <w:fldChar w:fldCharType="end"/>
                    </w:r>
                    <w:r>
                      <w:t xml:space="preserve"> van </w:t>
                    </w:r>
                    <w:r>
                      <w:fldChar w:fldCharType="begin"/>
                    </w:r>
                    <w:r>
                      <w:instrText>NUMPAGES</w:instrText>
                    </w:r>
                    <w:r>
                      <w:fldChar w:fldCharType="separate"/>
                    </w:r>
                    <w:r w:rsidR="00081F1D">
                      <w:rPr>
                        <w:noProof/>
                      </w:rPr>
                      <w:t>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517660DA" wp14:editId="456E652F">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08D47C34" w14:textId="77777777" w:rsidR="002B7F2F" w:rsidRDefault="00C84E4F">
                          <w:pPr>
                            <w:pStyle w:val="Kopjeafzendgegevens"/>
                          </w:pPr>
                          <w:r>
                            <w:t>Ministerie van Binnenlandse Zaken en Koninkrijksrelaties</w:t>
                          </w:r>
                        </w:p>
                        <w:p w14:paraId="5AAD8D36" w14:textId="77777777" w:rsidR="002B7F2F" w:rsidRDefault="00C84E4F">
                          <w:pPr>
                            <w:pStyle w:val="Afzendgegevens"/>
                          </w:pPr>
                          <w:r>
                            <w:t>Programmadirectie Versnelling tijdelijke huisvesting</w:t>
                          </w:r>
                        </w:p>
                        <w:p w14:paraId="4F0F44E8" w14:textId="77777777" w:rsidR="002B7F2F" w:rsidRDefault="002B7F2F">
                          <w:pPr>
                            <w:pStyle w:val="WitregelW1"/>
                          </w:pPr>
                        </w:p>
                        <w:p w14:paraId="20784725" w14:textId="0C1AE642" w:rsidR="002B7F2F" w:rsidRDefault="002B7F2F">
                          <w:pPr>
                            <w:pStyle w:val="Kopjereferentiegegevens"/>
                          </w:pPr>
                        </w:p>
                        <w:p w14:paraId="414E0F76" w14:textId="77777777" w:rsidR="002B7F2F" w:rsidRDefault="002B7F2F">
                          <w:pPr>
                            <w:pStyle w:val="WitregelW1"/>
                          </w:pPr>
                        </w:p>
                        <w:p w14:paraId="6AB40478" w14:textId="77777777" w:rsidR="00763A33" w:rsidRPr="00763A33" w:rsidRDefault="00763A33" w:rsidP="00763A33"/>
                        <w:p w14:paraId="171C714C" w14:textId="77777777" w:rsidR="002B7F2F" w:rsidRDefault="00C84E4F">
                          <w:pPr>
                            <w:pStyle w:val="Kopjereferentiegegevens"/>
                          </w:pPr>
                          <w:r>
                            <w:t>Kenmerk</w:t>
                          </w:r>
                        </w:p>
                        <w:p w14:paraId="39333432" w14:textId="37AED2C7" w:rsidR="00D13299" w:rsidRDefault="00832C15">
                          <w:pPr>
                            <w:pStyle w:val="Referentiegegevens"/>
                          </w:pPr>
                          <w:fldSimple w:instr=" DOCPROPERTY  &quot;Kenmerk&quot;  \* MERGEFORMAT ">
                            <w:r>
                              <w:t>2022-0000664745</w:t>
                            </w:r>
                          </w:fldSimple>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660DA"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08D47C34" w14:textId="77777777" w:rsidR="002B7F2F" w:rsidRDefault="00C84E4F">
                    <w:pPr>
                      <w:pStyle w:val="Kopjeafzendgegevens"/>
                    </w:pPr>
                    <w:r>
                      <w:t>Ministerie van Binnenlandse Zaken en Koninkrijksrelaties</w:t>
                    </w:r>
                  </w:p>
                  <w:p w14:paraId="5AAD8D36" w14:textId="77777777" w:rsidR="002B7F2F" w:rsidRDefault="00C84E4F">
                    <w:pPr>
                      <w:pStyle w:val="Afzendgegevens"/>
                    </w:pPr>
                    <w:r>
                      <w:t>Programmadirectie Versnelling tijdelijke huisvesting</w:t>
                    </w:r>
                  </w:p>
                  <w:p w14:paraId="4F0F44E8" w14:textId="77777777" w:rsidR="002B7F2F" w:rsidRDefault="002B7F2F">
                    <w:pPr>
                      <w:pStyle w:val="WitregelW1"/>
                    </w:pPr>
                  </w:p>
                  <w:p w14:paraId="20784725" w14:textId="0C1AE642" w:rsidR="002B7F2F" w:rsidRDefault="002B7F2F">
                    <w:pPr>
                      <w:pStyle w:val="Kopjereferentiegegevens"/>
                    </w:pPr>
                  </w:p>
                  <w:p w14:paraId="414E0F76" w14:textId="77777777" w:rsidR="002B7F2F" w:rsidRDefault="002B7F2F">
                    <w:pPr>
                      <w:pStyle w:val="WitregelW1"/>
                    </w:pPr>
                  </w:p>
                  <w:p w14:paraId="6AB40478" w14:textId="77777777" w:rsidR="00763A33" w:rsidRPr="00763A33" w:rsidRDefault="00763A33" w:rsidP="00763A33"/>
                  <w:p w14:paraId="171C714C" w14:textId="77777777" w:rsidR="002B7F2F" w:rsidRDefault="00C84E4F">
                    <w:pPr>
                      <w:pStyle w:val="Kopjereferentiegegevens"/>
                    </w:pPr>
                    <w:r>
                      <w:t>Kenmerk</w:t>
                    </w:r>
                  </w:p>
                  <w:p w14:paraId="39333432" w14:textId="37AED2C7" w:rsidR="00D13299" w:rsidRDefault="00832C15">
                    <w:pPr>
                      <w:pStyle w:val="Referentiegegevens"/>
                    </w:pPr>
                    <w:r>
                      <w:fldChar w:fldCharType="begin"/>
                    </w:r>
                    <w:r>
                      <w:instrText xml:space="preserve"> DOCPROPERTY  "Kenmerk"  \* MERGEFORMAT </w:instrText>
                    </w:r>
                    <w:r>
                      <w:fldChar w:fldCharType="separate"/>
                    </w:r>
                    <w:r>
                      <w:t>2022-0000664745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72C9BAF" wp14:editId="455D59B9">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782D0EA3" w14:textId="77777777" w:rsidR="007D5C8D" w:rsidRDefault="007D5C8D"/>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C9BAF"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" filled="f" stroked="f">
              <v:textbox inset="0,0,0,0">
                <w:txbxContent>
                  <w:p w14:paraId="782D0EA3" w14:textId="77777777" w:rsidR="007D5C8D" w:rsidRDefault="007D5C8D"/>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15AA" w14:textId="77777777" w:rsidR="002B7F2F" w:rsidRDefault="00C84E4F">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2947DD2F" wp14:editId="44FD18C9">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56E7F12" w14:textId="77777777" w:rsidR="007D5C8D" w:rsidRDefault="007D5C8D"/>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47DD2F"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156E7F12" w14:textId="77777777" w:rsidR="007D5C8D" w:rsidRDefault="007D5C8D"/>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3CACA026" wp14:editId="4588B66F">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348195D" w14:textId="77777777" w:rsidR="002B7F2F" w:rsidRDefault="00C84E4F">
                          <w:pPr>
                            <w:pStyle w:val="MarginlessContainer"/>
                          </w:pPr>
                          <w:r>
                            <w:rPr>
                              <w:noProof/>
                            </w:rPr>
                            <w:drawing>
                              <wp:inline distT="0" distB="0" distL="0" distR="0" wp14:anchorId="0FA2413F" wp14:editId="5EADCB8D">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CA026"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wXvfq5YBAAAVAwAA&#10;DgAAAAAAAAAAAAAAAAAuAgAAZHJzL2Uyb0RvYy54bWxQSwECLQAUAAYACAAAACEAzkuwit4AAAAJ&#10;AQAADwAAAAAAAAAAAAAAAADwAwAAZHJzL2Rvd25yZXYueG1sUEsFBgAAAAAEAAQA8wAAAPsEAAAA&#10;AA==&#10;" filled="f" stroked="f">
              <v:textbox inset="0,0,0,0">
                <w:txbxContent>
                  <w:p w14:paraId="6348195D" w14:textId="77777777" w:rsidR="002B7F2F" w:rsidRDefault="00C84E4F">
                    <w:pPr>
                      <w:pStyle w:val="MarginlessContainer"/>
                    </w:pPr>
                    <w:r>
                      <w:rPr>
                        <w:noProof/>
                      </w:rPr>
                      <w:drawing>
                        <wp:inline distT="0" distB="0" distL="0" distR="0" wp14:anchorId="0FA2413F" wp14:editId="5EADCB8D">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28CB97FE" wp14:editId="2592B2AF">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433F2C5E" w14:textId="77777777" w:rsidR="002B7F2F" w:rsidRDefault="00C84E4F">
                          <w:pPr>
                            <w:pStyle w:val="Referentiegegevens"/>
                          </w:pPr>
                          <w:r>
                            <w:t>&gt; Retouradres Postbus 20011 2500 EA  Den Haag</w:t>
                          </w:r>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CB97F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" filled="f" stroked="f">
              <v:textbox inset="0,0,0,0">
                <w:txbxContent>
                  <w:p w14:paraId="433F2C5E" w14:textId="77777777" w:rsidR="002B7F2F" w:rsidRDefault="00C84E4F">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7DD9B06" wp14:editId="5B90F88A">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3488BD3E" w14:textId="77777777" w:rsidR="002B7F2F" w:rsidRDefault="00C84E4F">
                          <w:pPr>
                            <w:pStyle w:val="WitregelW1bodytekst"/>
                          </w:pPr>
                          <w:r>
                            <w:t xml:space="preserve"> </w:t>
                          </w:r>
                        </w:p>
                        <w:p w14:paraId="7CD0C4D1" w14:textId="77777777" w:rsidR="002B7F2F" w:rsidRDefault="00C84E4F">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DD9B06"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3488BD3E" w14:textId="77777777" w:rsidR="002B7F2F" w:rsidRDefault="00C84E4F">
                    <w:pPr>
                      <w:pStyle w:val="WitregelW1bodytekst"/>
                    </w:pPr>
                    <w:r>
                      <w:t xml:space="preserve"> </w:t>
                    </w:r>
                  </w:p>
                  <w:p w14:paraId="7CD0C4D1" w14:textId="77777777" w:rsidR="002B7F2F" w:rsidRDefault="00C84E4F">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639BAB49" wp14:editId="6606F199">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2B7F2F" w14:paraId="27EF5A81" w14:textId="77777777">
                            <w:trPr>
                              <w:trHeight w:val="200"/>
                            </w:trPr>
                            <w:tc>
                              <w:tcPr>
                                <w:tcW w:w="1140" w:type="dxa"/>
                              </w:tcPr>
                              <w:p w14:paraId="6B6B4C5B" w14:textId="77777777" w:rsidR="002B7F2F" w:rsidRDefault="002B7F2F"/>
                            </w:tc>
                            <w:tc>
                              <w:tcPr>
                                <w:tcW w:w="5918" w:type="dxa"/>
                              </w:tcPr>
                              <w:p w14:paraId="0E5D2F61" w14:textId="77777777" w:rsidR="002B7F2F" w:rsidRDefault="002B7F2F"/>
                            </w:tc>
                          </w:tr>
                          <w:tr w:rsidR="002B7F2F" w14:paraId="36E2DF60" w14:textId="77777777">
                            <w:trPr>
                              <w:trHeight w:val="300"/>
                            </w:trPr>
                            <w:tc>
                              <w:tcPr>
                                <w:tcW w:w="1140" w:type="dxa"/>
                              </w:tcPr>
                              <w:p w14:paraId="246FDE88" w14:textId="77777777" w:rsidR="002B7F2F" w:rsidRDefault="00C84E4F">
                                <w:r>
                                  <w:t>Datum</w:t>
                                </w:r>
                              </w:p>
                            </w:tc>
                            <w:tc>
                              <w:tcPr>
                                <w:tcW w:w="5918" w:type="dxa"/>
                              </w:tcPr>
                              <w:p w14:paraId="72B8CECF" w14:textId="2F35176D" w:rsidR="00D13299" w:rsidRDefault="00832C15">
                                <w:pPr>
                                  <w:pStyle w:val="Gegevensdocument"/>
                                </w:pPr>
                                <w:r>
                                  <w:t>6 december 2022</w:t>
                                </w:r>
                              </w:p>
                            </w:tc>
                          </w:tr>
                          <w:tr w:rsidR="002B7F2F" w14:paraId="7CB5975B" w14:textId="77777777">
                            <w:trPr>
                              <w:trHeight w:val="300"/>
                            </w:trPr>
                            <w:tc>
                              <w:tcPr>
                                <w:tcW w:w="1140" w:type="dxa"/>
                              </w:tcPr>
                              <w:p w14:paraId="38A0293C" w14:textId="77777777" w:rsidR="002B7F2F" w:rsidRDefault="00C84E4F">
                                <w:r>
                                  <w:t>Betreft</w:t>
                                </w:r>
                              </w:p>
                            </w:tc>
                            <w:tc>
                              <w:tcPr>
                                <w:tcW w:w="5918" w:type="dxa"/>
                              </w:tcPr>
                              <w:p w14:paraId="735AC7F2" w14:textId="45A9908F" w:rsidR="00D13299" w:rsidRDefault="00832C15">
                                <w:fldSimple w:instr=" DOCPROPERTY  &quot;Onderwerp&quot;  \* MERGEFORMAT ">
                                  <w:r>
                                    <w:t>Financiële herplaatsingsgarantie voor versnelling tijdelijke huisvesting</w:t>
                                  </w:r>
                                </w:fldSimple>
                              </w:p>
                            </w:tc>
                          </w:tr>
                          <w:tr w:rsidR="002B7F2F" w14:paraId="54563740" w14:textId="77777777">
                            <w:trPr>
                              <w:trHeight w:val="200"/>
                            </w:trPr>
                            <w:tc>
                              <w:tcPr>
                                <w:tcW w:w="1140" w:type="dxa"/>
                              </w:tcPr>
                              <w:p w14:paraId="5D7C756B" w14:textId="77777777" w:rsidR="002B7F2F" w:rsidRDefault="002B7F2F"/>
                            </w:tc>
                            <w:tc>
                              <w:tcPr>
                                <w:tcW w:w="5918" w:type="dxa"/>
                              </w:tcPr>
                              <w:p w14:paraId="0AB1715A" w14:textId="77777777" w:rsidR="002B7F2F" w:rsidRDefault="002B7F2F"/>
                            </w:tc>
                          </w:tr>
                        </w:tbl>
                        <w:p w14:paraId="0A927CE0" w14:textId="77777777" w:rsidR="007D5C8D" w:rsidRDefault="007D5C8D"/>
                      </w:txbxContent>
                    </wps:txbx>
                    <wps:bodyPr vert="horz" wrap="square" lIns="0" tIns="0" rIns="0" bIns="0" anchor="t" anchorCtr="0"/>
                  </wps:wsp>
                </a:graphicData>
              </a:graphic>
            </wp:anchor>
          </w:drawing>
        </mc:Choice>
        <mc:Fallback>
          <w:pict>
            <v:shapetype w14:anchorId="639BAB49"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2B7F2F" w14:paraId="27EF5A81" w14:textId="77777777">
                      <w:trPr>
                        <w:trHeight w:val="200"/>
                      </w:trPr>
                      <w:tc>
                        <w:tcPr>
                          <w:tcW w:w="1140" w:type="dxa"/>
                        </w:tcPr>
                        <w:p w14:paraId="6B6B4C5B" w14:textId="77777777" w:rsidR="002B7F2F" w:rsidRDefault="002B7F2F"/>
                      </w:tc>
                      <w:tc>
                        <w:tcPr>
                          <w:tcW w:w="5918" w:type="dxa"/>
                        </w:tcPr>
                        <w:p w14:paraId="0E5D2F61" w14:textId="77777777" w:rsidR="002B7F2F" w:rsidRDefault="002B7F2F"/>
                      </w:tc>
                    </w:tr>
                    <w:tr w:rsidR="002B7F2F" w14:paraId="36E2DF60" w14:textId="77777777">
                      <w:trPr>
                        <w:trHeight w:val="300"/>
                      </w:trPr>
                      <w:tc>
                        <w:tcPr>
                          <w:tcW w:w="1140" w:type="dxa"/>
                        </w:tcPr>
                        <w:p w14:paraId="246FDE88" w14:textId="77777777" w:rsidR="002B7F2F" w:rsidRDefault="00C84E4F">
                          <w:r>
                            <w:t>Datum</w:t>
                          </w:r>
                        </w:p>
                      </w:tc>
                      <w:tc>
                        <w:tcPr>
                          <w:tcW w:w="5918" w:type="dxa"/>
                        </w:tcPr>
                        <w:p w14:paraId="72B8CECF" w14:textId="2F35176D" w:rsidR="00D13299" w:rsidRDefault="00832C15">
                          <w:pPr>
                            <w:pStyle w:val="Gegevensdocument"/>
                          </w:pPr>
                          <w:r>
                            <w:t>6 december 2022</w:t>
                          </w:r>
                        </w:p>
                      </w:tc>
                    </w:tr>
                    <w:tr w:rsidR="002B7F2F" w14:paraId="7CB5975B" w14:textId="77777777">
                      <w:trPr>
                        <w:trHeight w:val="300"/>
                      </w:trPr>
                      <w:tc>
                        <w:tcPr>
                          <w:tcW w:w="1140" w:type="dxa"/>
                        </w:tcPr>
                        <w:p w14:paraId="38A0293C" w14:textId="77777777" w:rsidR="002B7F2F" w:rsidRDefault="00C84E4F">
                          <w:r>
                            <w:t>Betreft</w:t>
                          </w:r>
                        </w:p>
                      </w:tc>
                      <w:tc>
                        <w:tcPr>
                          <w:tcW w:w="5918" w:type="dxa"/>
                        </w:tcPr>
                        <w:p w14:paraId="735AC7F2" w14:textId="45A9908F" w:rsidR="00D13299" w:rsidRDefault="00832C15">
                          <w:fldSimple w:instr=" DOCPROPERTY  &quot;Onderwerp&quot;  \* MERGEFORMAT ">
                            <w:r>
                              <w:t>Financiële herplaatsingsgarantie voor versnelling tijdelijke huisvesting</w:t>
                            </w:r>
                          </w:fldSimple>
                        </w:p>
                      </w:tc>
                    </w:tr>
                    <w:tr w:rsidR="002B7F2F" w14:paraId="54563740" w14:textId="77777777">
                      <w:trPr>
                        <w:trHeight w:val="200"/>
                      </w:trPr>
                      <w:tc>
                        <w:tcPr>
                          <w:tcW w:w="1140" w:type="dxa"/>
                        </w:tcPr>
                        <w:p w14:paraId="5D7C756B" w14:textId="77777777" w:rsidR="002B7F2F" w:rsidRDefault="002B7F2F"/>
                      </w:tc>
                      <w:tc>
                        <w:tcPr>
                          <w:tcW w:w="5918" w:type="dxa"/>
                        </w:tcPr>
                        <w:p w14:paraId="0AB1715A" w14:textId="77777777" w:rsidR="002B7F2F" w:rsidRDefault="002B7F2F"/>
                      </w:tc>
                    </w:tr>
                  </w:tbl>
                  <w:p w14:paraId="0A927CE0" w14:textId="77777777" w:rsidR="007D5C8D" w:rsidRDefault="007D5C8D"/>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336F71DE" wp14:editId="55703215">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525E0D71" w14:textId="77777777" w:rsidR="002B7F2F" w:rsidRDefault="00C84E4F">
                          <w:pPr>
                            <w:pStyle w:val="Kopjeafzendgegevens"/>
                          </w:pPr>
                          <w:r>
                            <w:t>Ministerie van Binnenlandse Zaken en Koninkrijksrelaties</w:t>
                          </w:r>
                        </w:p>
                        <w:p w14:paraId="7D367D77" w14:textId="77777777" w:rsidR="002B7F2F" w:rsidRDefault="00C84E4F">
                          <w:pPr>
                            <w:pStyle w:val="Afzendgegevens"/>
                          </w:pPr>
                          <w:r>
                            <w:t>Programmadirectie Versnelling tijdelijke huisvesting</w:t>
                          </w:r>
                        </w:p>
                        <w:p w14:paraId="2E784122" w14:textId="77777777" w:rsidR="002B7F2F" w:rsidRDefault="002B7F2F">
                          <w:pPr>
                            <w:pStyle w:val="WitregelW1"/>
                          </w:pPr>
                        </w:p>
                        <w:p w14:paraId="5667756A" w14:textId="77777777" w:rsidR="002B7F2F" w:rsidRDefault="00C84E4F">
                          <w:pPr>
                            <w:pStyle w:val="Afzendgegevens"/>
                          </w:pPr>
                          <w:r>
                            <w:t>Turfmarkt 147</w:t>
                          </w:r>
                        </w:p>
                        <w:p w14:paraId="5A1048F6" w14:textId="77777777" w:rsidR="002B7F2F" w:rsidRDefault="00C84E4F">
                          <w:pPr>
                            <w:pStyle w:val="Afzendgegevens"/>
                          </w:pPr>
                          <w:r>
                            <w:t>Den Haag</w:t>
                          </w:r>
                        </w:p>
                        <w:p w14:paraId="3DCBDCF5" w14:textId="77777777" w:rsidR="002B7F2F" w:rsidRDefault="00C84E4F">
                          <w:pPr>
                            <w:pStyle w:val="Afzendgegevens"/>
                          </w:pPr>
                          <w:r>
                            <w:t>Postbus 20011</w:t>
                          </w:r>
                        </w:p>
                        <w:p w14:paraId="50E889CE" w14:textId="77777777" w:rsidR="002B7F2F" w:rsidRDefault="00C84E4F">
                          <w:pPr>
                            <w:pStyle w:val="Afzendgegevens"/>
                          </w:pPr>
                          <w:r>
                            <w:t>2500 EA  Den Haag</w:t>
                          </w:r>
                        </w:p>
                        <w:p w14:paraId="03FB85C5" w14:textId="77777777" w:rsidR="002B7F2F" w:rsidRDefault="002B7F2F">
                          <w:pPr>
                            <w:pStyle w:val="WitregelW1"/>
                          </w:pPr>
                        </w:p>
                        <w:p w14:paraId="6347998D" w14:textId="77777777" w:rsidR="002B7F2F" w:rsidRDefault="002B7F2F">
                          <w:pPr>
                            <w:pStyle w:val="WitregelW1"/>
                          </w:pPr>
                        </w:p>
                        <w:p w14:paraId="4CDA9EE6" w14:textId="77777777" w:rsidR="002B7F2F" w:rsidRDefault="00C84E4F">
                          <w:pPr>
                            <w:pStyle w:val="Kopjereferentiegegevens"/>
                          </w:pPr>
                          <w:r>
                            <w:t>Kenmerk</w:t>
                          </w:r>
                        </w:p>
                        <w:p w14:paraId="7A0EADE0" w14:textId="5F0DECE1" w:rsidR="00D13299" w:rsidRDefault="00832C15">
                          <w:pPr>
                            <w:pStyle w:val="Referentiegegevens"/>
                          </w:pPr>
                          <w:fldSimple w:instr=" DOCPROPERTY  &quot;Kenmerk&quot;  \* MERGEFORMAT ">
                            <w:r>
                              <w:t>2022-0000664745</w:t>
                            </w:r>
                          </w:fldSimple>
                        </w:p>
                        <w:p w14:paraId="20315FCA" w14:textId="77777777" w:rsidR="002B7F2F" w:rsidRDefault="002B7F2F">
                          <w:pPr>
                            <w:pStyle w:val="WitregelW1"/>
                          </w:pPr>
                        </w:p>
                        <w:p w14:paraId="21349423" w14:textId="77777777" w:rsidR="002B7F2F" w:rsidRDefault="00C84E4F">
                          <w:pPr>
                            <w:pStyle w:val="Kopjereferentiegegevens"/>
                          </w:pPr>
                          <w:r>
                            <w:t>Uw kenmerk</w:t>
                          </w:r>
                        </w:p>
                        <w:p w14:paraId="7923CEB0" w14:textId="65B78AA7" w:rsidR="00EE153A" w:rsidRDefault="00D14A24">
                          <w:pPr>
                            <w:pStyle w:val="Referentiegegevens"/>
                          </w:pPr>
                          <w:r>
                            <w:fldChar w:fldCharType="begin"/>
                          </w:r>
                          <w:r>
                            <w:instrText xml:space="preserve"> DOCPROPERTY  "UwKenmerk"  \* MERGEFORMAT </w:instrText>
                          </w:r>
                          <w:r>
                            <w:fldChar w:fldCharType="end"/>
                          </w:r>
                        </w:p>
                        <w:p w14:paraId="6DBD3D2E" w14:textId="77777777" w:rsidR="002B7F2F" w:rsidRDefault="002B7F2F">
                          <w:pPr>
                            <w:pStyle w:val="WitregelW1"/>
                          </w:pPr>
                        </w:p>
                        <w:p w14:paraId="0FE108AC" w14:textId="77777777" w:rsidR="002B7F2F" w:rsidRDefault="00C84E4F">
                          <w:pPr>
                            <w:pStyle w:val="Kopjereferentiegegevens"/>
                          </w:pPr>
                          <w:r>
                            <w:t>Bijlage(n)</w:t>
                          </w:r>
                        </w:p>
                        <w:p w14:paraId="471664CF" w14:textId="77777777" w:rsidR="002B7F2F" w:rsidRDefault="005C2F2A">
                          <w:pPr>
                            <w:pStyle w:val="Referentiegegevens"/>
                          </w:pPr>
                          <w:r>
                            <w:t>2</w:t>
                          </w:r>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F71D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525E0D71" w14:textId="77777777" w:rsidR="002B7F2F" w:rsidRDefault="00C84E4F">
                    <w:pPr>
                      <w:pStyle w:val="Kopjeafzendgegevens"/>
                    </w:pPr>
                    <w:r>
                      <w:t>Ministerie van Binnenlandse Zaken en Koninkrijksrelaties</w:t>
                    </w:r>
                  </w:p>
                  <w:p w14:paraId="7D367D77" w14:textId="77777777" w:rsidR="002B7F2F" w:rsidRDefault="00C84E4F">
                    <w:pPr>
                      <w:pStyle w:val="Afzendgegevens"/>
                    </w:pPr>
                    <w:r>
                      <w:t>Programmadirectie Versnelling tijdelijke huisvesting</w:t>
                    </w:r>
                  </w:p>
                  <w:p w14:paraId="2E784122" w14:textId="77777777" w:rsidR="002B7F2F" w:rsidRDefault="002B7F2F">
                    <w:pPr>
                      <w:pStyle w:val="WitregelW1"/>
                    </w:pPr>
                  </w:p>
                  <w:p w14:paraId="5667756A" w14:textId="77777777" w:rsidR="002B7F2F" w:rsidRDefault="00C84E4F">
                    <w:pPr>
                      <w:pStyle w:val="Afzendgegevens"/>
                    </w:pPr>
                    <w:r>
                      <w:t>Turfmarkt 147</w:t>
                    </w:r>
                  </w:p>
                  <w:p w14:paraId="5A1048F6" w14:textId="77777777" w:rsidR="002B7F2F" w:rsidRDefault="00C84E4F">
                    <w:pPr>
                      <w:pStyle w:val="Afzendgegevens"/>
                    </w:pPr>
                    <w:r>
                      <w:t>Den Haag</w:t>
                    </w:r>
                  </w:p>
                  <w:p w14:paraId="3DCBDCF5" w14:textId="77777777" w:rsidR="002B7F2F" w:rsidRDefault="00C84E4F">
                    <w:pPr>
                      <w:pStyle w:val="Afzendgegevens"/>
                    </w:pPr>
                    <w:r>
                      <w:t>Postbus 20011</w:t>
                    </w:r>
                  </w:p>
                  <w:p w14:paraId="50E889CE" w14:textId="77777777" w:rsidR="002B7F2F" w:rsidRDefault="00C84E4F">
                    <w:pPr>
                      <w:pStyle w:val="Afzendgegevens"/>
                    </w:pPr>
                    <w:r>
                      <w:t>2500 EA  Den Haag</w:t>
                    </w:r>
                  </w:p>
                  <w:p w14:paraId="03FB85C5" w14:textId="77777777" w:rsidR="002B7F2F" w:rsidRDefault="002B7F2F">
                    <w:pPr>
                      <w:pStyle w:val="WitregelW1"/>
                    </w:pPr>
                  </w:p>
                  <w:p w14:paraId="6347998D" w14:textId="77777777" w:rsidR="002B7F2F" w:rsidRDefault="002B7F2F">
                    <w:pPr>
                      <w:pStyle w:val="WitregelW1"/>
                    </w:pPr>
                  </w:p>
                  <w:p w14:paraId="4CDA9EE6" w14:textId="77777777" w:rsidR="002B7F2F" w:rsidRDefault="00C84E4F">
                    <w:pPr>
                      <w:pStyle w:val="Kopjereferentiegegevens"/>
                    </w:pPr>
                    <w:r>
                      <w:t>Kenmerk</w:t>
                    </w:r>
                  </w:p>
                  <w:p w14:paraId="7A0EADE0" w14:textId="5F0DECE1" w:rsidR="00D13299" w:rsidRDefault="00832C15">
                    <w:pPr>
                      <w:pStyle w:val="Referentiegegevens"/>
                    </w:pPr>
                    <w:r>
                      <w:fldChar w:fldCharType="begin"/>
                    </w:r>
                    <w:r>
                      <w:instrText xml:space="preserve"> DOCPROPERTY  "Kenmerk"  \* MERGEFORMAT </w:instrText>
                    </w:r>
                    <w:r>
                      <w:fldChar w:fldCharType="separate"/>
                    </w:r>
                    <w:r>
                      <w:t>2022-0000664745</w:t>
                    </w:r>
                    <w:r>
                      <w:fldChar w:fldCharType="end"/>
                    </w:r>
                  </w:p>
                  <w:p w14:paraId="20315FCA" w14:textId="77777777" w:rsidR="002B7F2F" w:rsidRDefault="002B7F2F">
                    <w:pPr>
                      <w:pStyle w:val="WitregelW1"/>
                    </w:pPr>
                  </w:p>
                  <w:p w14:paraId="21349423" w14:textId="77777777" w:rsidR="002B7F2F" w:rsidRDefault="00C84E4F">
                    <w:pPr>
                      <w:pStyle w:val="Kopjereferentiegegevens"/>
                    </w:pPr>
                    <w:r>
                      <w:t>Uw kenmerk</w:t>
                    </w:r>
                  </w:p>
                  <w:p w14:paraId="7923CEB0" w14:textId="65B78AA7" w:rsidR="00EE153A" w:rsidRDefault="00D14A24">
                    <w:pPr>
                      <w:pStyle w:val="Referentiegegevens"/>
                    </w:pPr>
                    <w:r>
                      <w:fldChar w:fldCharType="begin"/>
                    </w:r>
                    <w:r>
                      <w:instrText xml:space="preserve"> DOCPROPERTY  "UwKenmerk"  \* MERGEFORMAT </w:instrText>
                    </w:r>
                    <w:r>
                      <w:fldChar w:fldCharType="end"/>
                    </w:r>
                  </w:p>
                  <w:p w14:paraId="6DBD3D2E" w14:textId="77777777" w:rsidR="002B7F2F" w:rsidRDefault="002B7F2F">
                    <w:pPr>
                      <w:pStyle w:val="WitregelW1"/>
                    </w:pPr>
                  </w:p>
                  <w:p w14:paraId="0FE108AC" w14:textId="77777777" w:rsidR="002B7F2F" w:rsidRDefault="00C84E4F">
                    <w:pPr>
                      <w:pStyle w:val="Kopjereferentiegegevens"/>
                    </w:pPr>
                    <w:r>
                      <w:t>Bijlage(n)</w:t>
                    </w:r>
                  </w:p>
                  <w:p w14:paraId="471664CF" w14:textId="77777777" w:rsidR="002B7F2F" w:rsidRDefault="005C2F2A">
                    <w:pPr>
                      <w:pStyle w:val="Referentiegegevens"/>
                    </w:pPr>
                    <w:r>
                      <w:t>2</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4C3E20B3" wp14:editId="06796167">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6FB7CCDD" w14:textId="5B085CA3" w:rsidR="00EE153A" w:rsidRDefault="00D14A24">
                          <w:pPr>
                            <w:pStyle w:val="Referentiegegevens"/>
                          </w:pPr>
                          <w:r>
                            <w:t xml:space="preserve">Pagina </w:t>
                          </w:r>
                          <w:r>
                            <w:fldChar w:fldCharType="begin"/>
                          </w:r>
                          <w:r>
                            <w:instrText>PAGE</w:instrText>
                          </w:r>
                          <w:r>
                            <w:fldChar w:fldCharType="separate"/>
                          </w:r>
                          <w:r w:rsidR="00081F1D">
                            <w:rPr>
                              <w:noProof/>
                            </w:rPr>
                            <w:t>1</w:t>
                          </w:r>
                          <w:r>
                            <w:fldChar w:fldCharType="end"/>
                          </w:r>
                          <w:r>
                            <w:t xml:space="preserve"> van </w:t>
                          </w:r>
                          <w:r>
                            <w:fldChar w:fldCharType="begin"/>
                          </w:r>
                          <w:r>
                            <w:instrText>NUMPAGES</w:instrText>
                          </w:r>
                          <w:r>
                            <w:fldChar w:fldCharType="separate"/>
                          </w:r>
                          <w:r w:rsidR="00081F1D">
                            <w:rPr>
                              <w:noProof/>
                            </w:rPr>
                            <w:t>5</w:t>
                          </w:r>
                          <w:r>
                            <w:fldChar w:fldCharType="end"/>
                          </w:r>
                        </w:p>
                      </w:txbxContent>
                    </wps:txbx>
                    <wps:bodyPr vert="horz" wrap="square" lIns="0" tIns="0" rIns="0" bIns="0" anchor="t" anchorCtr="0"/>
                  </wps:wsp>
                </a:graphicData>
              </a:graphic>
            </wp:anchor>
          </w:drawing>
        </mc:Choice>
        <mc:Fallback>
          <w:pict>
            <v:shape w14:anchorId="4C3E20B3"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6FB7CCDD" w14:textId="5B085CA3" w:rsidR="00EE153A" w:rsidRDefault="00D14A24">
                    <w:pPr>
                      <w:pStyle w:val="Referentiegegevens"/>
                    </w:pPr>
                    <w:r>
                      <w:t xml:space="preserve">Pagina </w:t>
                    </w:r>
                    <w:r>
                      <w:fldChar w:fldCharType="begin"/>
                    </w:r>
                    <w:r>
                      <w:instrText>PAGE</w:instrText>
                    </w:r>
                    <w:r>
                      <w:fldChar w:fldCharType="separate"/>
                    </w:r>
                    <w:r w:rsidR="00081F1D">
                      <w:rPr>
                        <w:noProof/>
                      </w:rPr>
                      <w:t>1</w:t>
                    </w:r>
                    <w:r>
                      <w:fldChar w:fldCharType="end"/>
                    </w:r>
                    <w:r>
                      <w:t xml:space="preserve"> van </w:t>
                    </w:r>
                    <w:r>
                      <w:fldChar w:fldCharType="begin"/>
                    </w:r>
                    <w:r>
                      <w:instrText>NUMPAGES</w:instrText>
                    </w:r>
                    <w:r>
                      <w:fldChar w:fldCharType="separate"/>
                    </w:r>
                    <w:r w:rsidR="00081F1D">
                      <w:rPr>
                        <w:noProof/>
                      </w:rPr>
                      <w:t>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99A4EE2" wp14:editId="2FD12339">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70A43AB4" w14:textId="77777777" w:rsidR="007D5C8D" w:rsidRDefault="007D5C8D"/>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A4EE2"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" filled="f" stroked="f">
              <v:textbox inset="0,0,0,0">
                <w:txbxContent>
                  <w:p w14:paraId="70A43AB4" w14:textId="77777777" w:rsidR="007D5C8D" w:rsidRDefault="007D5C8D"/>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05410393" wp14:editId="2A32C4EB">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5B0CB2DD" w14:textId="77777777" w:rsidR="007D5C8D" w:rsidRDefault="007D5C8D"/>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10393"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" filled="f" stroked="f">
              <v:textbox inset="0,0,0,0">
                <w:txbxContent>
                  <w:p w14:paraId="5B0CB2DD" w14:textId="77777777" w:rsidR="007D5C8D" w:rsidRDefault="007D5C8D"/>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F670D"/>
    <w:multiLevelType w:val="multilevel"/>
    <w:tmpl w:val="FB12F823"/>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44BFE0E"/>
    <w:multiLevelType w:val="multilevel"/>
    <w:tmpl w:val="984D0F2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9EC4B6D"/>
    <w:multiLevelType w:val="multilevel"/>
    <w:tmpl w:val="D1933086"/>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8C33B198"/>
    <w:multiLevelType w:val="multilevel"/>
    <w:tmpl w:val="A5C3B2AE"/>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8CDF4B01"/>
    <w:multiLevelType w:val="multilevel"/>
    <w:tmpl w:val="6CEBA2B0"/>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8D69E28D"/>
    <w:multiLevelType w:val="multilevel"/>
    <w:tmpl w:val="A8427FF4"/>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9DBEF29A"/>
    <w:multiLevelType w:val="multilevel"/>
    <w:tmpl w:val="ED82DCD4"/>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9FD50E35"/>
    <w:multiLevelType w:val="multilevel"/>
    <w:tmpl w:val="419B686E"/>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A0DDB3F1"/>
    <w:multiLevelType w:val="multilevel"/>
    <w:tmpl w:val="33571712"/>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C4DF9CF"/>
    <w:multiLevelType w:val="multilevel"/>
    <w:tmpl w:val="47F36FC3"/>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BE109966"/>
    <w:multiLevelType w:val="multilevel"/>
    <w:tmpl w:val="2D476237"/>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98513E0"/>
    <w:multiLevelType w:val="multilevel"/>
    <w:tmpl w:val="651188FC"/>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2988898"/>
    <w:multiLevelType w:val="multilevel"/>
    <w:tmpl w:val="BAA875C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5B8D4D0"/>
    <w:multiLevelType w:val="multilevel"/>
    <w:tmpl w:val="0F2AB0DE"/>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D952F425"/>
    <w:multiLevelType w:val="multilevel"/>
    <w:tmpl w:val="5568E1D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DFBCBDA5"/>
    <w:multiLevelType w:val="multilevel"/>
    <w:tmpl w:val="D77D6B20"/>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E33E2AB2"/>
    <w:multiLevelType w:val="multilevel"/>
    <w:tmpl w:val="B3914B09"/>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E6691E20"/>
    <w:multiLevelType w:val="multilevel"/>
    <w:tmpl w:val="44FC56CC"/>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EA1EF8C7"/>
    <w:multiLevelType w:val="multilevel"/>
    <w:tmpl w:val="E2292FAD"/>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F73525A7"/>
    <w:multiLevelType w:val="multilevel"/>
    <w:tmpl w:val="654283EE"/>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FC077632"/>
    <w:multiLevelType w:val="multilevel"/>
    <w:tmpl w:val="6872B06A"/>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3E86108"/>
    <w:multiLevelType w:val="multilevel"/>
    <w:tmpl w:val="7771E4D8"/>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C83BE37"/>
    <w:multiLevelType w:val="multilevel"/>
    <w:tmpl w:val="33D276B4"/>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7E0C37"/>
    <w:multiLevelType w:val="multilevel"/>
    <w:tmpl w:val="89A84F6F"/>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CA751D"/>
    <w:multiLevelType w:val="multilevel"/>
    <w:tmpl w:val="605391AD"/>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5FD64B"/>
    <w:multiLevelType w:val="multilevel"/>
    <w:tmpl w:val="C6B7E949"/>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E8098A"/>
    <w:multiLevelType w:val="multilevel"/>
    <w:tmpl w:val="5D92C12E"/>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D1E47D"/>
    <w:multiLevelType w:val="multilevel"/>
    <w:tmpl w:val="00AD6067"/>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7EE9A8"/>
    <w:multiLevelType w:val="multilevel"/>
    <w:tmpl w:val="2F3ABD08"/>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9604F8"/>
    <w:multiLevelType w:val="multilevel"/>
    <w:tmpl w:val="DC9A1B50"/>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D4C40F"/>
    <w:multiLevelType w:val="multilevel"/>
    <w:tmpl w:val="F4B0F7A9"/>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D6052C"/>
    <w:multiLevelType w:val="multilevel"/>
    <w:tmpl w:val="BDA47F49"/>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D9CEF5"/>
    <w:multiLevelType w:val="multilevel"/>
    <w:tmpl w:val="EB35333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BE8411"/>
    <w:multiLevelType w:val="multilevel"/>
    <w:tmpl w:val="DAE6349B"/>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09888D"/>
    <w:multiLevelType w:val="multilevel"/>
    <w:tmpl w:val="320979A3"/>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6"/>
  </w:num>
  <w:num w:numId="4">
    <w:abstractNumId w:val="5"/>
  </w:num>
  <w:num w:numId="5">
    <w:abstractNumId w:val="28"/>
  </w:num>
  <w:num w:numId="6">
    <w:abstractNumId w:val="33"/>
  </w:num>
  <w:num w:numId="7">
    <w:abstractNumId w:val="12"/>
  </w:num>
  <w:num w:numId="8">
    <w:abstractNumId w:val="22"/>
  </w:num>
  <w:num w:numId="9">
    <w:abstractNumId w:val="24"/>
  </w:num>
  <w:num w:numId="10">
    <w:abstractNumId w:val="32"/>
  </w:num>
  <w:num w:numId="11">
    <w:abstractNumId w:val="14"/>
  </w:num>
  <w:num w:numId="12">
    <w:abstractNumId w:val="1"/>
  </w:num>
  <w:num w:numId="13">
    <w:abstractNumId w:val="16"/>
  </w:num>
  <w:num w:numId="14">
    <w:abstractNumId w:val="25"/>
  </w:num>
  <w:num w:numId="15">
    <w:abstractNumId w:val="9"/>
  </w:num>
  <w:num w:numId="16">
    <w:abstractNumId w:val="15"/>
  </w:num>
  <w:num w:numId="17">
    <w:abstractNumId w:val="13"/>
  </w:num>
  <w:num w:numId="18">
    <w:abstractNumId w:val="18"/>
  </w:num>
  <w:num w:numId="19">
    <w:abstractNumId w:val="3"/>
  </w:num>
  <w:num w:numId="20">
    <w:abstractNumId w:val="4"/>
  </w:num>
  <w:num w:numId="21">
    <w:abstractNumId w:val="31"/>
  </w:num>
  <w:num w:numId="22">
    <w:abstractNumId w:val="10"/>
  </w:num>
  <w:num w:numId="23">
    <w:abstractNumId w:val="29"/>
  </w:num>
  <w:num w:numId="24">
    <w:abstractNumId w:val="19"/>
  </w:num>
  <w:num w:numId="25">
    <w:abstractNumId w:val="11"/>
  </w:num>
  <w:num w:numId="26">
    <w:abstractNumId w:val="0"/>
  </w:num>
  <w:num w:numId="27">
    <w:abstractNumId w:val="20"/>
  </w:num>
  <w:num w:numId="28">
    <w:abstractNumId w:val="23"/>
  </w:num>
  <w:num w:numId="29">
    <w:abstractNumId w:val="30"/>
  </w:num>
  <w:num w:numId="30">
    <w:abstractNumId w:val="34"/>
  </w:num>
  <w:num w:numId="31">
    <w:abstractNumId w:val="2"/>
  </w:num>
  <w:num w:numId="32">
    <w:abstractNumId w:val="21"/>
  </w:num>
  <w:num w:numId="33">
    <w:abstractNumId w:val="7"/>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2F"/>
    <w:rsid w:val="00046679"/>
    <w:rsid w:val="00081F1D"/>
    <w:rsid w:val="000E0280"/>
    <w:rsid w:val="000F74F8"/>
    <w:rsid w:val="0010235C"/>
    <w:rsid w:val="001135E7"/>
    <w:rsid w:val="00217B13"/>
    <w:rsid w:val="00285905"/>
    <w:rsid w:val="002864E1"/>
    <w:rsid w:val="0029641F"/>
    <w:rsid w:val="002B7F2F"/>
    <w:rsid w:val="002D2B27"/>
    <w:rsid w:val="002D63E1"/>
    <w:rsid w:val="002F6C5F"/>
    <w:rsid w:val="00344CC5"/>
    <w:rsid w:val="003B6775"/>
    <w:rsid w:val="004026EA"/>
    <w:rsid w:val="00405416"/>
    <w:rsid w:val="004076B1"/>
    <w:rsid w:val="004D48B2"/>
    <w:rsid w:val="005232D4"/>
    <w:rsid w:val="00577EF7"/>
    <w:rsid w:val="005B7DB4"/>
    <w:rsid w:val="005C2F2A"/>
    <w:rsid w:val="0062082C"/>
    <w:rsid w:val="00671A4C"/>
    <w:rsid w:val="00681156"/>
    <w:rsid w:val="00681E85"/>
    <w:rsid w:val="006D336C"/>
    <w:rsid w:val="00711E9F"/>
    <w:rsid w:val="0072014E"/>
    <w:rsid w:val="00763A33"/>
    <w:rsid w:val="007B5D99"/>
    <w:rsid w:val="007D5C8D"/>
    <w:rsid w:val="00821983"/>
    <w:rsid w:val="00832C15"/>
    <w:rsid w:val="00835829"/>
    <w:rsid w:val="00912E38"/>
    <w:rsid w:val="009723E8"/>
    <w:rsid w:val="00992445"/>
    <w:rsid w:val="009A5431"/>
    <w:rsid w:val="009C778F"/>
    <w:rsid w:val="00A01A5D"/>
    <w:rsid w:val="00A13131"/>
    <w:rsid w:val="00A607CC"/>
    <w:rsid w:val="00AA775E"/>
    <w:rsid w:val="00AD7222"/>
    <w:rsid w:val="00B12C57"/>
    <w:rsid w:val="00B71909"/>
    <w:rsid w:val="00B83540"/>
    <w:rsid w:val="00B8643C"/>
    <w:rsid w:val="00B9740B"/>
    <w:rsid w:val="00BD22C6"/>
    <w:rsid w:val="00BF3F81"/>
    <w:rsid w:val="00C13EB4"/>
    <w:rsid w:val="00C55437"/>
    <w:rsid w:val="00C84E4F"/>
    <w:rsid w:val="00D13299"/>
    <w:rsid w:val="00D14A24"/>
    <w:rsid w:val="00D26654"/>
    <w:rsid w:val="00DF375F"/>
    <w:rsid w:val="00E06F63"/>
    <w:rsid w:val="00E321C7"/>
    <w:rsid w:val="00E5120C"/>
    <w:rsid w:val="00E63E91"/>
    <w:rsid w:val="00ED239C"/>
    <w:rsid w:val="00EE153A"/>
    <w:rsid w:val="00F31A6F"/>
    <w:rsid w:val="00F4093C"/>
    <w:rsid w:val="00F8001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E4907"/>
  <w15:docId w15:val="{8A500F41-45D2-405F-93E4-3EA44B60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217B1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7B13"/>
    <w:rPr>
      <w:rFonts w:ascii="Verdana" w:hAnsi="Verdana"/>
      <w:color w:val="000000"/>
      <w:sz w:val="18"/>
      <w:szCs w:val="18"/>
    </w:rPr>
  </w:style>
  <w:style w:type="paragraph" w:styleId="Voettekst">
    <w:name w:val="footer"/>
    <w:basedOn w:val="Standaard"/>
    <w:link w:val="VoettekstChar"/>
    <w:uiPriority w:val="99"/>
    <w:unhideWhenUsed/>
    <w:rsid w:val="00217B1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7B13"/>
    <w:rPr>
      <w:rFonts w:ascii="Verdana" w:hAnsi="Verdana"/>
      <w:color w:val="000000"/>
      <w:sz w:val="18"/>
      <w:szCs w:val="18"/>
    </w:rPr>
  </w:style>
  <w:style w:type="character" w:styleId="Verwijzingopmerking">
    <w:name w:val="annotation reference"/>
    <w:basedOn w:val="Standaardalinea-lettertype"/>
    <w:uiPriority w:val="99"/>
    <w:semiHidden/>
    <w:unhideWhenUsed/>
    <w:rsid w:val="00217B13"/>
    <w:rPr>
      <w:sz w:val="16"/>
      <w:szCs w:val="16"/>
    </w:rPr>
  </w:style>
  <w:style w:type="paragraph" w:styleId="Tekstopmerking">
    <w:name w:val="annotation text"/>
    <w:basedOn w:val="Standaard"/>
    <w:link w:val="TekstopmerkingChar"/>
    <w:uiPriority w:val="99"/>
    <w:semiHidden/>
    <w:unhideWhenUsed/>
    <w:rsid w:val="00217B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7B1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17B13"/>
    <w:rPr>
      <w:b/>
      <w:bCs/>
    </w:rPr>
  </w:style>
  <w:style w:type="character" w:customStyle="1" w:styleId="OnderwerpvanopmerkingChar">
    <w:name w:val="Onderwerp van opmerking Char"/>
    <w:basedOn w:val="TekstopmerkingChar"/>
    <w:link w:val="Onderwerpvanopmerking"/>
    <w:uiPriority w:val="99"/>
    <w:semiHidden/>
    <w:rsid w:val="00217B13"/>
    <w:rPr>
      <w:rFonts w:ascii="Verdana" w:hAnsi="Verdana"/>
      <w:b/>
      <w:bCs/>
      <w:color w:val="000000"/>
    </w:rPr>
  </w:style>
  <w:style w:type="paragraph" w:styleId="Voetnoottekst">
    <w:name w:val="footnote text"/>
    <w:basedOn w:val="Standaard"/>
    <w:link w:val="VoetnoottekstChar"/>
    <w:uiPriority w:val="99"/>
    <w:semiHidden/>
    <w:unhideWhenUsed/>
    <w:rsid w:val="009C778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C778F"/>
    <w:rPr>
      <w:rFonts w:ascii="Verdana" w:hAnsi="Verdana"/>
      <w:color w:val="000000"/>
    </w:rPr>
  </w:style>
  <w:style w:type="character" w:styleId="Voetnootmarkering">
    <w:name w:val="footnote reference"/>
    <w:basedOn w:val="Standaardalinea-lettertype"/>
    <w:uiPriority w:val="99"/>
    <w:semiHidden/>
    <w:unhideWhenUsed/>
    <w:rsid w:val="009C778F"/>
    <w:rPr>
      <w:vertAlign w:val="superscript"/>
    </w:rPr>
  </w:style>
  <w:style w:type="character" w:styleId="Nadruk">
    <w:name w:val="Emphasis"/>
    <w:basedOn w:val="Standaardalinea-lettertype"/>
    <w:uiPriority w:val="20"/>
    <w:qFormat/>
    <w:rsid w:val="00113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39893">
      <w:bodyDiv w:val="1"/>
      <w:marLeft w:val="0"/>
      <w:marRight w:val="0"/>
      <w:marTop w:val="0"/>
      <w:marBottom w:val="0"/>
      <w:divBdr>
        <w:top w:val="none" w:sz="0" w:space="0" w:color="auto"/>
        <w:left w:val="none" w:sz="0" w:space="0" w:color="auto"/>
        <w:bottom w:val="none" w:sz="0" w:space="0" w:color="auto"/>
        <w:right w:val="none" w:sz="0" w:space="0" w:color="auto"/>
      </w:divBdr>
    </w:div>
    <w:div w:id="614754097">
      <w:bodyDiv w:val="1"/>
      <w:marLeft w:val="0"/>
      <w:marRight w:val="0"/>
      <w:marTop w:val="0"/>
      <w:marBottom w:val="0"/>
      <w:divBdr>
        <w:top w:val="none" w:sz="0" w:space="0" w:color="auto"/>
        <w:left w:val="none" w:sz="0" w:space="0" w:color="auto"/>
        <w:bottom w:val="none" w:sz="0" w:space="0" w:color="auto"/>
        <w:right w:val="none" w:sz="0" w:space="0" w:color="auto"/>
      </w:divBdr>
    </w:div>
    <w:div w:id="1623001291">
      <w:bodyDiv w:val="1"/>
      <w:marLeft w:val="0"/>
      <w:marRight w:val="0"/>
      <w:marTop w:val="0"/>
      <w:marBottom w:val="0"/>
      <w:divBdr>
        <w:top w:val="none" w:sz="0" w:space="0" w:color="auto"/>
        <w:left w:val="none" w:sz="0" w:space="0" w:color="auto"/>
        <w:bottom w:val="none" w:sz="0" w:space="0" w:color="auto"/>
        <w:right w:val="none" w:sz="0" w:space="0" w:color="auto"/>
      </w:divBdr>
    </w:div>
    <w:div w:id="1908222344">
      <w:bodyDiv w:val="1"/>
      <w:marLeft w:val="0"/>
      <w:marRight w:val="0"/>
      <w:marTop w:val="0"/>
      <w:marBottom w:val="0"/>
      <w:divBdr>
        <w:top w:val="none" w:sz="0" w:space="0" w:color="auto"/>
        <w:left w:val="none" w:sz="0" w:space="0" w:color="auto"/>
        <w:bottom w:val="none" w:sz="0" w:space="0" w:color="auto"/>
        <w:right w:val="none" w:sz="0" w:space="0" w:color="auto"/>
      </w:divBdr>
    </w:div>
    <w:div w:id="2030446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webSetting" Target="webSettings0.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Borst, A.H. - BD/DGM/BDGM/Flex</dc:creator>
  <cp:keywords/>
  <dc:description>------------------------</dc:description>
  <cp:lastModifiedBy>Borst, A.H. - BD/DGM/BDGM/Flex</cp:lastModifiedBy>
  <cp:revision>2</cp:revision>
  <cp:lastPrinted>2022-12-06T10:22:00Z</cp:lastPrinted>
  <dcterms:created xsi:type="dcterms:W3CDTF">2022-12-07T12:31:00Z</dcterms:created>
  <dcterms:modified xsi:type="dcterms:W3CDTF">2022-12-07T12:31:00Z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Departementaal Breed</vt:lpwstr>
  </property>
  <property fmtid="{D5CDD505-2E9C-101B-9397-08002B2CF9AE}" pid="3" name="Datum">
    <vt:lpwstr>3 december 2022</vt:lpwstr>
  </property>
  <property fmtid="{D5CDD505-2E9C-101B-9397-08002B2CF9AE}" pid="4" name="Onderwerp">
    <vt:lpwstr>Financiële herplaatsingsgarantie voor versnelling tijdelijke huisvesting</vt:lpwstr>
  </property>
  <property fmtid="{D5CDD505-2E9C-101B-9397-08002B2CF9AE}" pid="5" name="Kenmerk">
    <vt:lpwstr>2022-0000664745</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ies>
</file>